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72" w:rsidRDefault="00864572" w:rsidP="00FC2FE8">
      <w:pPr>
        <w:spacing w:line="580" w:lineRule="exact"/>
        <w:jc w:val="center"/>
        <w:rPr>
          <w:rFonts w:ascii="华文中宋" w:eastAsia="华文中宋" w:hAnsi="华文中宋" w:cs="华文中宋"/>
          <w:b/>
          <w:bCs/>
          <w:color w:val="000000"/>
          <w:kern w:val="0"/>
          <w:sz w:val="44"/>
          <w:szCs w:val="44"/>
        </w:rPr>
      </w:pPr>
      <w:r w:rsidRPr="0099537C">
        <w:rPr>
          <w:rFonts w:ascii="华文中宋" w:eastAsia="华文中宋" w:hAnsi="华文中宋" w:cs="华文中宋" w:hint="eastAsia"/>
          <w:b/>
          <w:bCs/>
          <w:color w:val="000000"/>
          <w:kern w:val="0"/>
          <w:sz w:val="44"/>
          <w:szCs w:val="44"/>
        </w:rPr>
        <w:t>会员交易资金电子结算告知书</w:t>
      </w:r>
    </w:p>
    <w:p w:rsidR="00864572" w:rsidRDefault="00864572" w:rsidP="00903264">
      <w:pPr>
        <w:ind w:firstLineChars="200" w:firstLine="640"/>
        <w:rPr>
          <w:rFonts w:ascii="仿宋_GB2312" w:eastAsia="仿宋_GB2312" w:hAnsi="仿宋" w:cs="仿宋_GB2312"/>
          <w:color w:val="000000"/>
          <w:kern w:val="0"/>
          <w:sz w:val="32"/>
          <w:szCs w:val="32"/>
        </w:rPr>
      </w:pPr>
    </w:p>
    <w:p w:rsidR="00864572" w:rsidRDefault="00864572" w:rsidP="00903264">
      <w:pPr>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全国粮食统一竞价交易系统已升级系统安全认证并增加网银转账功能，如您于</w:t>
      </w:r>
      <w:r>
        <w:rPr>
          <w:rFonts w:ascii="仿宋_GB2312" w:eastAsia="仿宋_GB2312" w:hAnsi="仿宋" w:cs="仿宋_GB2312"/>
          <w:color w:val="000000"/>
          <w:kern w:val="0"/>
          <w:sz w:val="32"/>
          <w:szCs w:val="32"/>
        </w:rPr>
        <w:t>2016</w:t>
      </w:r>
      <w:r>
        <w:rPr>
          <w:rFonts w:ascii="仿宋_GB2312" w:eastAsia="仿宋_GB2312" w:hAnsi="仿宋" w:cs="仿宋_GB2312" w:hint="eastAsia"/>
          <w:color w:val="000000"/>
          <w:kern w:val="0"/>
          <w:sz w:val="32"/>
          <w:szCs w:val="32"/>
        </w:rPr>
        <w:t>年</w:t>
      </w:r>
      <w:r>
        <w:rPr>
          <w:rFonts w:ascii="仿宋_GB2312" w:eastAsia="仿宋_GB2312" w:hAnsi="仿宋" w:cs="仿宋_GB2312"/>
          <w:color w:val="000000"/>
          <w:kern w:val="0"/>
          <w:sz w:val="32"/>
          <w:szCs w:val="32"/>
        </w:rPr>
        <w:t>1</w:t>
      </w:r>
      <w:r>
        <w:rPr>
          <w:rFonts w:ascii="仿宋_GB2312" w:eastAsia="仿宋_GB2312" w:hAnsi="仿宋" w:cs="仿宋_GB2312" w:hint="eastAsia"/>
          <w:color w:val="000000"/>
          <w:kern w:val="0"/>
          <w:sz w:val="32"/>
          <w:szCs w:val="32"/>
        </w:rPr>
        <w:t>月</w:t>
      </w:r>
      <w:r>
        <w:rPr>
          <w:rFonts w:ascii="仿宋_GB2312" w:eastAsia="仿宋_GB2312" w:hAnsi="仿宋" w:cs="仿宋_GB2312"/>
          <w:color w:val="000000"/>
          <w:kern w:val="0"/>
          <w:sz w:val="32"/>
          <w:szCs w:val="32"/>
        </w:rPr>
        <w:t>1</w:t>
      </w:r>
      <w:r>
        <w:rPr>
          <w:rFonts w:ascii="仿宋_GB2312" w:eastAsia="仿宋_GB2312" w:hAnsi="仿宋" w:cs="仿宋_GB2312" w:hint="eastAsia"/>
          <w:color w:val="000000"/>
          <w:kern w:val="0"/>
          <w:sz w:val="32"/>
          <w:szCs w:val="32"/>
        </w:rPr>
        <w:t>日后参与粮食竞价交易，须</w:t>
      </w:r>
      <w:r w:rsidRPr="00F07594">
        <w:rPr>
          <w:rFonts w:ascii="仿宋_GB2312" w:eastAsia="仿宋_GB2312" w:hAnsi="仿宋" w:cs="仿宋_GB2312" w:hint="eastAsia"/>
          <w:color w:val="000000"/>
          <w:kern w:val="0"/>
          <w:sz w:val="32"/>
          <w:szCs w:val="32"/>
        </w:rPr>
        <w:t>遵守</w:t>
      </w:r>
      <w:r>
        <w:rPr>
          <w:rFonts w:ascii="仿宋_GB2312" w:eastAsia="仿宋_GB2312" w:hAnsi="仿宋" w:cs="仿宋_GB2312" w:hint="eastAsia"/>
          <w:color w:val="000000"/>
          <w:kern w:val="0"/>
          <w:sz w:val="32"/>
          <w:szCs w:val="32"/>
        </w:rPr>
        <w:t>国家有关法律、法规、粮食政策、</w:t>
      </w:r>
      <w:r w:rsidRPr="00F07594">
        <w:rPr>
          <w:rFonts w:ascii="仿宋_GB2312" w:eastAsia="仿宋_GB2312" w:hAnsi="仿宋" w:cs="仿宋_GB2312" w:hint="eastAsia"/>
          <w:color w:val="000000"/>
          <w:kern w:val="0"/>
          <w:sz w:val="32"/>
          <w:szCs w:val="32"/>
        </w:rPr>
        <w:t>《粮食竞价销售交易规则》《交易公告》</w:t>
      </w:r>
      <w:r>
        <w:rPr>
          <w:rFonts w:ascii="仿宋_GB2312" w:eastAsia="仿宋_GB2312" w:hAnsi="仿宋" w:cs="仿宋_GB2312" w:hint="eastAsia"/>
          <w:color w:val="000000"/>
          <w:kern w:val="0"/>
          <w:sz w:val="32"/>
          <w:szCs w:val="32"/>
        </w:rPr>
        <w:t>以及国家粮食交易中心制定的</w:t>
      </w:r>
      <w:r w:rsidRPr="00F07594">
        <w:rPr>
          <w:rFonts w:ascii="仿宋_GB2312" w:eastAsia="仿宋_GB2312" w:hAnsi="仿宋" w:cs="仿宋_GB2312" w:hint="eastAsia"/>
          <w:color w:val="000000"/>
          <w:kern w:val="0"/>
          <w:sz w:val="32"/>
          <w:szCs w:val="32"/>
        </w:rPr>
        <w:t>有关</w:t>
      </w:r>
      <w:r>
        <w:rPr>
          <w:rFonts w:ascii="仿宋_GB2312" w:eastAsia="仿宋_GB2312" w:hAnsi="仿宋" w:cs="仿宋_GB2312" w:hint="eastAsia"/>
          <w:color w:val="000000"/>
          <w:kern w:val="0"/>
          <w:sz w:val="32"/>
          <w:szCs w:val="32"/>
        </w:rPr>
        <w:t>办法等，并提前到所在地联网的国家粮食交易中心（以下简称“交易中心”）办理交易资金电子结算手续。</w:t>
      </w:r>
      <w:r>
        <w:rPr>
          <w:rFonts w:ascii="仿宋" w:eastAsia="仿宋" w:hAnsi="仿宋" w:hint="eastAsia"/>
          <w:sz w:val="32"/>
          <w:szCs w:val="32"/>
        </w:rPr>
        <w:t>现将有关事项告知如下</w:t>
      </w:r>
      <w:r>
        <w:rPr>
          <w:rFonts w:ascii="仿宋_GB2312" w:eastAsia="仿宋_GB2312" w:hAnsi="仿宋" w:cs="仿宋_GB2312" w:hint="eastAsia"/>
          <w:color w:val="000000"/>
          <w:kern w:val="0"/>
          <w:sz w:val="32"/>
          <w:szCs w:val="32"/>
        </w:rPr>
        <w:t>：</w:t>
      </w:r>
    </w:p>
    <w:p w:rsidR="00864572" w:rsidRPr="00311040" w:rsidRDefault="00864572" w:rsidP="00311040">
      <w:pPr>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一、如您是企业</w:t>
      </w:r>
      <w:r w:rsidRPr="00BE7844">
        <w:rPr>
          <w:rFonts w:ascii="仿宋_GB2312" w:eastAsia="仿宋_GB2312" w:hAnsi="仿宋" w:cs="仿宋_GB2312" w:hint="eastAsia"/>
          <w:color w:val="000000"/>
          <w:kern w:val="0"/>
          <w:sz w:val="32"/>
          <w:szCs w:val="32"/>
        </w:rPr>
        <w:t>会员</w:t>
      </w:r>
      <w:r>
        <w:rPr>
          <w:rFonts w:ascii="仿宋_GB2312" w:eastAsia="仿宋_GB2312" w:hAnsi="仿宋" w:cs="仿宋_GB2312" w:hint="eastAsia"/>
          <w:color w:val="000000"/>
          <w:kern w:val="0"/>
          <w:sz w:val="32"/>
          <w:szCs w:val="32"/>
        </w:rPr>
        <w:t>，应与粮食竞价交易系统的</w:t>
      </w:r>
      <w:r w:rsidRPr="008622A7">
        <w:rPr>
          <w:rFonts w:ascii="仿宋_GB2312" w:eastAsia="仿宋_GB2312" w:hAnsi="仿宋" w:cs="仿宋_GB2312" w:hint="eastAsia"/>
          <w:color w:val="000000"/>
          <w:kern w:val="0"/>
          <w:sz w:val="32"/>
          <w:szCs w:val="32"/>
        </w:rPr>
        <w:t>存管</w:t>
      </w:r>
      <w:r>
        <w:rPr>
          <w:rFonts w:ascii="仿宋_GB2312" w:eastAsia="仿宋_GB2312" w:hAnsi="仿宋" w:cs="仿宋_GB2312" w:hint="eastAsia"/>
          <w:color w:val="000000"/>
          <w:kern w:val="0"/>
          <w:sz w:val="32"/>
          <w:szCs w:val="32"/>
        </w:rPr>
        <w:t>银行同时绑定一个企业银行账户（不能是个人卡）</w:t>
      </w:r>
      <w:r w:rsidRPr="00311040">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账户名称必须</w:t>
      </w:r>
      <w:r w:rsidRPr="00311040">
        <w:rPr>
          <w:rFonts w:ascii="仿宋_GB2312" w:eastAsia="仿宋_GB2312" w:hAnsi="仿宋" w:cs="仿宋_GB2312" w:hint="eastAsia"/>
          <w:color w:val="000000"/>
          <w:kern w:val="0"/>
          <w:sz w:val="32"/>
          <w:szCs w:val="32"/>
        </w:rPr>
        <w:t>与会员</w:t>
      </w:r>
      <w:r>
        <w:rPr>
          <w:rFonts w:ascii="仿宋_GB2312" w:eastAsia="仿宋_GB2312" w:hAnsi="仿宋" w:cs="仿宋_GB2312" w:hint="eastAsia"/>
          <w:color w:val="000000"/>
          <w:kern w:val="0"/>
          <w:sz w:val="32"/>
          <w:szCs w:val="32"/>
        </w:rPr>
        <w:t>系统</w:t>
      </w:r>
      <w:r w:rsidRPr="00311040">
        <w:rPr>
          <w:rFonts w:ascii="仿宋_GB2312" w:eastAsia="仿宋_GB2312" w:hAnsi="仿宋" w:cs="仿宋_GB2312" w:hint="eastAsia"/>
          <w:color w:val="000000"/>
          <w:kern w:val="0"/>
          <w:sz w:val="32"/>
          <w:szCs w:val="32"/>
        </w:rPr>
        <w:t>注册的名称一致</w:t>
      </w:r>
      <w:r>
        <w:rPr>
          <w:rFonts w:ascii="仿宋_GB2312" w:eastAsia="仿宋_GB2312" w:hAnsi="仿宋" w:cs="仿宋_GB2312" w:hint="eastAsia"/>
          <w:color w:val="000000"/>
          <w:kern w:val="0"/>
          <w:sz w:val="32"/>
          <w:szCs w:val="32"/>
        </w:rPr>
        <w:t>，可用于交易资金转账；如您是个人会员，应与粮食竞价交易系统的</w:t>
      </w:r>
      <w:r w:rsidRPr="008622A7">
        <w:rPr>
          <w:rFonts w:ascii="仿宋_GB2312" w:eastAsia="仿宋_GB2312" w:hAnsi="仿宋" w:cs="仿宋_GB2312" w:hint="eastAsia"/>
          <w:color w:val="000000"/>
          <w:kern w:val="0"/>
          <w:sz w:val="32"/>
          <w:szCs w:val="32"/>
        </w:rPr>
        <w:t>存管银行</w:t>
      </w:r>
      <w:r>
        <w:rPr>
          <w:rFonts w:ascii="仿宋_GB2312" w:eastAsia="仿宋_GB2312" w:hAnsi="仿宋" w:cs="仿宋_GB2312" w:hint="eastAsia"/>
          <w:color w:val="000000"/>
          <w:kern w:val="0"/>
          <w:sz w:val="32"/>
          <w:szCs w:val="32"/>
        </w:rPr>
        <w:t>同时绑定一张个人银行借记卡（不能是信用卡）</w:t>
      </w:r>
      <w:r w:rsidRPr="00311040">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银行卡户名必须</w:t>
      </w:r>
      <w:r w:rsidRPr="00311040">
        <w:rPr>
          <w:rFonts w:ascii="仿宋_GB2312" w:eastAsia="仿宋_GB2312" w:hAnsi="仿宋" w:cs="仿宋_GB2312" w:hint="eastAsia"/>
          <w:color w:val="000000"/>
          <w:kern w:val="0"/>
          <w:sz w:val="32"/>
          <w:szCs w:val="32"/>
        </w:rPr>
        <w:t>与会员</w:t>
      </w:r>
      <w:r>
        <w:rPr>
          <w:rFonts w:ascii="仿宋_GB2312" w:eastAsia="仿宋_GB2312" w:hAnsi="仿宋" w:cs="仿宋_GB2312" w:hint="eastAsia"/>
          <w:color w:val="000000"/>
          <w:kern w:val="0"/>
          <w:sz w:val="32"/>
          <w:szCs w:val="32"/>
        </w:rPr>
        <w:t>系统</w:t>
      </w:r>
      <w:r w:rsidRPr="00311040">
        <w:rPr>
          <w:rFonts w:ascii="仿宋_GB2312" w:eastAsia="仿宋_GB2312" w:hAnsi="仿宋" w:cs="仿宋_GB2312" w:hint="eastAsia"/>
          <w:color w:val="000000"/>
          <w:kern w:val="0"/>
          <w:sz w:val="32"/>
          <w:szCs w:val="32"/>
        </w:rPr>
        <w:t>注册的名称一致</w:t>
      </w:r>
      <w:r>
        <w:rPr>
          <w:rFonts w:ascii="仿宋_GB2312" w:eastAsia="仿宋_GB2312" w:hAnsi="仿宋" w:cs="仿宋_GB2312" w:hint="eastAsia"/>
          <w:color w:val="000000"/>
          <w:kern w:val="0"/>
          <w:sz w:val="32"/>
          <w:szCs w:val="32"/>
        </w:rPr>
        <w:t>，可用于交易资金转账。</w:t>
      </w:r>
    </w:p>
    <w:p w:rsidR="00864572" w:rsidRDefault="00864572" w:rsidP="001A03F9">
      <w:pPr>
        <w:ind w:firstLineChars="200" w:firstLine="640"/>
        <w:rPr>
          <w:rFonts w:ascii="仿宋_GB2312" w:eastAsia="仿宋_GB2312" w:hAnsi="仿宋" w:cs="仿宋_GB2312"/>
          <w:color w:val="000000"/>
          <w:kern w:val="0"/>
          <w:sz w:val="32"/>
          <w:szCs w:val="32"/>
        </w:rPr>
      </w:pPr>
      <w:r w:rsidRPr="008622A7">
        <w:rPr>
          <w:rFonts w:ascii="仿宋_GB2312" w:eastAsia="仿宋_GB2312" w:hAnsi="仿宋" w:cs="仿宋_GB2312" w:hint="eastAsia"/>
          <w:color w:val="000000"/>
          <w:kern w:val="0"/>
          <w:sz w:val="32"/>
          <w:szCs w:val="32"/>
        </w:rPr>
        <w:t>二、</w:t>
      </w:r>
      <w:r>
        <w:rPr>
          <w:rFonts w:ascii="仿宋_GB2312" w:eastAsia="仿宋_GB2312" w:hAnsi="仿宋" w:cs="仿宋_GB2312" w:hint="eastAsia"/>
          <w:color w:val="000000"/>
          <w:kern w:val="0"/>
          <w:sz w:val="32"/>
          <w:szCs w:val="32"/>
        </w:rPr>
        <w:t>交易中心通过在存管银行开立的、在</w:t>
      </w:r>
      <w:r w:rsidRPr="008622A7">
        <w:rPr>
          <w:rFonts w:ascii="仿宋_GB2312" w:eastAsia="仿宋_GB2312" w:hAnsi="仿宋" w:cs="仿宋_GB2312" w:hint="eastAsia"/>
          <w:color w:val="000000"/>
          <w:kern w:val="0"/>
          <w:sz w:val="32"/>
          <w:szCs w:val="32"/>
        </w:rPr>
        <w:t>有关部门备案</w:t>
      </w:r>
      <w:bookmarkStart w:id="0" w:name="_GoBack"/>
      <w:r w:rsidRPr="008622A7">
        <w:rPr>
          <w:rFonts w:ascii="仿宋_GB2312" w:eastAsia="仿宋_GB2312" w:hAnsi="仿宋" w:cs="仿宋_GB2312" w:hint="eastAsia"/>
          <w:color w:val="000000"/>
          <w:kern w:val="0"/>
          <w:sz w:val="32"/>
          <w:szCs w:val="32"/>
        </w:rPr>
        <w:t>的</w:t>
      </w:r>
      <w:r>
        <w:rPr>
          <w:rFonts w:ascii="仿宋_GB2312" w:eastAsia="仿宋_GB2312" w:hAnsi="仿宋" w:cs="仿宋_GB2312" w:hint="eastAsia"/>
          <w:color w:val="000000"/>
          <w:kern w:val="0"/>
          <w:sz w:val="32"/>
          <w:szCs w:val="32"/>
        </w:rPr>
        <w:t>资金存</w:t>
      </w:r>
      <w:bookmarkEnd w:id="0"/>
      <w:r>
        <w:rPr>
          <w:rFonts w:ascii="仿宋_GB2312" w:eastAsia="仿宋_GB2312" w:hAnsi="仿宋" w:cs="仿宋_GB2312" w:hint="eastAsia"/>
          <w:color w:val="000000"/>
          <w:kern w:val="0"/>
          <w:sz w:val="32"/>
          <w:szCs w:val="32"/>
        </w:rPr>
        <w:t>管账户（账户信息详见《交易公告》）对您暂存于交易中心的资金进行管理和结算，您的资金可存放在《交易公告》规定的任意一个存管账户内，确保资金安全，结算畅通、方便、快捷。</w:t>
      </w:r>
    </w:p>
    <w:p w:rsidR="00864572" w:rsidRDefault="00864572" w:rsidP="00C86354">
      <w:pPr>
        <w:ind w:firstLineChars="200" w:firstLine="640"/>
        <w:rPr>
          <w:rFonts w:ascii="仿宋" w:eastAsia="仿宋" w:hAnsi="仿宋"/>
          <w:sz w:val="32"/>
          <w:szCs w:val="32"/>
        </w:rPr>
      </w:pPr>
      <w:r>
        <w:rPr>
          <w:rFonts w:ascii="仿宋_GB2312" w:eastAsia="仿宋_GB2312" w:hAnsi="仿宋" w:cs="仿宋_GB2312" w:hint="eastAsia"/>
          <w:color w:val="000000"/>
          <w:kern w:val="0"/>
          <w:sz w:val="32"/>
          <w:szCs w:val="32"/>
        </w:rPr>
        <w:t>三、您在参与交易前可以通过绑定账户开户行的网银向交易中心办理转账划款手续，没有开通网银或网银不能正常</w:t>
      </w:r>
      <w:r>
        <w:rPr>
          <w:rFonts w:ascii="仿宋_GB2312" w:eastAsia="仿宋_GB2312" w:hAnsi="仿宋" w:cs="仿宋_GB2312" w:hint="eastAsia"/>
          <w:color w:val="000000"/>
          <w:kern w:val="0"/>
          <w:sz w:val="32"/>
          <w:szCs w:val="32"/>
        </w:rPr>
        <w:lastRenderedPageBreak/>
        <w:t>使用的会员也可以到绑定账户开户</w:t>
      </w:r>
      <w:r w:rsidRPr="007776E9">
        <w:rPr>
          <w:rFonts w:ascii="仿宋" w:eastAsia="仿宋" w:hAnsi="仿宋" w:hint="eastAsia"/>
          <w:sz w:val="32"/>
          <w:szCs w:val="32"/>
        </w:rPr>
        <w:t>银行柜台</w:t>
      </w:r>
      <w:r>
        <w:rPr>
          <w:rFonts w:ascii="仿宋" w:eastAsia="仿宋" w:hAnsi="仿宋" w:hint="eastAsia"/>
          <w:sz w:val="32"/>
          <w:szCs w:val="32"/>
        </w:rPr>
        <w:t>办理人工汇款，或者通过其他转账方式办理汇款业务。</w:t>
      </w:r>
    </w:p>
    <w:p w:rsidR="00864572" w:rsidRDefault="00864572" w:rsidP="00074B43">
      <w:pPr>
        <w:ind w:firstLineChars="200" w:firstLine="640"/>
        <w:rPr>
          <w:rFonts w:ascii="仿宋" w:eastAsia="仿宋" w:hAnsi="仿宋"/>
          <w:sz w:val="32"/>
          <w:szCs w:val="32"/>
        </w:rPr>
      </w:pPr>
      <w:r>
        <w:rPr>
          <w:rFonts w:ascii="仿宋" w:eastAsia="仿宋" w:hAnsi="仿宋" w:hint="eastAsia"/>
          <w:sz w:val="32"/>
          <w:szCs w:val="32"/>
        </w:rPr>
        <w:t>四、您向交易中心存管账户汇交保证金、货款时，务必使用与交易系统绑定的银行账户，您汇入的款项，交易系统会根据您所绑定的银行账户，自动识别记入交易中心为您开立的资金账户名下，用于您的各项交易活动，您可登陆交易系统随时查询您名下资金变化情况。交易活动结束或合同履约后，对您名下的资金</w:t>
      </w:r>
      <w:r>
        <w:rPr>
          <w:rFonts w:ascii="仿宋_GB2312" w:eastAsia="仿宋_GB2312" w:hAnsi="仿宋" w:cs="仿宋_GB2312" w:hint="eastAsia"/>
          <w:color w:val="000000"/>
          <w:kern w:val="0"/>
          <w:sz w:val="32"/>
          <w:szCs w:val="32"/>
        </w:rPr>
        <w:t>，</w:t>
      </w:r>
      <w:r>
        <w:rPr>
          <w:rFonts w:ascii="仿宋" w:eastAsia="仿宋" w:hAnsi="仿宋" w:hint="eastAsia"/>
          <w:sz w:val="32"/>
          <w:szCs w:val="32"/>
        </w:rPr>
        <w:t>交易系统会依据您的转账申请，汇划至您绑定的银行账户。</w:t>
      </w:r>
    </w:p>
    <w:p w:rsidR="00864572" w:rsidRDefault="00864572" w:rsidP="00074B43">
      <w:pPr>
        <w:ind w:firstLineChars="200" w:firstLine="640"/>
        <w:rPr>
          <w:rFonts w:ascii="仿宋" w:eastAsia="仿宋" w:hAnsi="仿宋"/>
          <w:sz w:val="32"/>
          <w:szCs w:val="32"/>
        </w:rPr>
      </w:pPr>
      <w:r>
        <w:rPr>
          <w:rFonts w:ascii="仿宋" w:eastAsia="仿宋" w:hAnsi="仿宋" w:hint="eastAsia"/>
          <w:sz w:val="32"/>
          <w:szCs w:val="32"/>
        </w:rPr>
        <w:t>五、</w:t>
      </w:r>
      <w:r>
        <w:rPr>
          <w:rFonts w:ascii="仿宋_GB2312" w:eastAsia="仿宋_GB2312" w:hAnsi="仿宋" w:cs="仿宋_GB2312" w:hint="eastAsia"/>
          <w:color w:val="000000"/>
          <w:kern w:val="0"/>
          <w:sz w:val="32"/>
          <w:szCs w:val="32"/>
        </w:rPr>
        <w:t>如您从非绑定银行账户向交易中心办理转账或汇款，交易系统无法自动识别，将会影响到您交易、</w:t>
      </w:r>
      <w:r w:rsidRPr="007776E9">
        <w:rPr>
          <w:rFonts w:ascii="仿宋" w:eastAsia="仿宋" w:hAnsi="仿宋" w:hint="eastAsia"/>
          <w:sz w:val="32"/>
          <w:szCs w:val="32"/>
        </w:rPr>
        <w:t>交割</w:t>
      </w:r>
      <w:r>
        <w:rPr>
          <w:rFonts w:ascii="仿宋" w:eastAsia="仿宋" w:hAnsi="仿宋" w:hint="eastAsia"/>
          <w:sz w:val="32"/>
          <w:szCs w:val="32"/>
        </w:rPr>
        <w:t>、</w:t>
      </w:r>
      <w:r w:rsidRPr="007776E9">
        <w:rPr>
          <w:rFonts w:ascii="仿宋" w:eastAsia="仿宋" w:hAnsi="仿宋" w:hint="eastAsia"/>
          <w:sz w:val="32"/>
          <w:szCs w:val="32"/>
        </w:rPr>
        <w:t>结算</w:t>
      </w:r>
      <w:r>
        <w:rPr>
          <w:rFonts w:ascii="仿宋" w:eastAsia="仿宋" w:hAnsi="仿宋" w:hint="eastAsia"/>
          <w:sz w:val="32"/>
          <w:szCs w:val="32"/>
        </w:rPr>
        <w:t>等业务的正常开展，由此产生的损失由您自行</w:t>
      </w:r>
      <w:r w:rsidRPr="007776E9">
        <w:rPr>
          <w:rFonts w:ascii="仿宋" w:eastAsia="仿宋" w:hAnsi="仿宋" w:hint="eastAsia"/>
          <w:sz w:val="32"/>
          <w:szCs w:val="32"/>
        </w:rPr>
        <w:t>承担</w:t>
      </w:r>
      <w:r>
        <w:rPr>
          <w:rFonts w:ascii="仿宋" w:eastAsia="仿宋" w:hAnsi="仿宋" w:hint="eastAsia"/>
          <w:sz w:val="32"/>
          <w:szCs w:val="32"/>
        </w:rPr>
        <w:t>，与交易中心、存管银行无涉</w:t>
      </w:r>
      <w:r w:rsidRPr="007776E9">
        <w:rPr>
          <w:rFonts w:ascii="仿宋" w:eastAsia="仿宋" w:hAnsi="仿宋" w:hint="eastAsia"/>
          <w:sz w:val="32"/>
          <w:szCs w:val="32"/>
        </w:rPr>
        <w:t>。</w:t>
      </w:r>
    </w:p>
    <w:p w:rsidR="00864572" w:rsidRDefault="00864572" w:rsidP="008638D2">
      <w:pPr>
        <w:ind w:firstLineChars="200" w:firstLine="640"/>
        <w:rPr>
          <w:rFonts w:ascii="仿宋_GB2312" w:eastAsia="仿宋_GB2312" w:hAnsi="仿宋" w:cs="仿宋_GB2312"/>
          <w:color w:val="000000"/>
          <w:kern w:val="0"/>
          <w:sz w:val="32"/>
          <w:szCs w:val="32"/>
        </w:rPr>
      </w:pPr>
      <w:r>
        <w:rPr>
          <w:rFonts w:ascii="仿宋" w:eastAsia="仿宋" w:hAnsi="仿宋" w:hint="eastAsia"/>
          <w:sz w:val="32"/>
          <w:szCs w:val="32"/>
        </w:rPr>
        <w:t>六、您向交易中心提供的绑定账户信息必须为真实、合法、有效的实名账户信息，且交易期间绑定银行账户必须有效存续，因您提供的账户信息不准确、不完整等原因或在交易期间被有权机关采取查封、扣押、冻结等强制措施，导致绑定银行账户无法及时划付或收取交易资金，由此产生的损失由您自行承担，与交易中心、存管银行无涉。</w:t>
      </w:r>
    </w:p>
    <w:p w:rsidR="00864572" w:rsidRDefault="00864572" w:rsidP="008638D2">
      <w:pPr>
        <w:ind w:firstLineChars="200" w:firstLine="640"/>
        <w:rPr>
          <w:rFonts w:ascii="仿宋" w:eastAsia="仿宋" w:hAnsi="仿宋"/>
          <w:sz w:val="32"/>
          <w:szCs w:val="32"/>
        </w:rPr>
      </w:pPr>
      <w:r>
        <w:rPr>
          <w:rFonts w:ascii="仿宋" w:eastAsia="仿宋" w:hAnsi="仿宋" w:hint="eastAsia"/>
          <w:sz w:val="32"/>
          <w:szCs w:val="32"/>
        </w:rPr>
        <w:t>您确认已阅读并清楚本告知书内容。</w:t>
      </w:r>
    </w:p>
    <w:p w:rsidR="00864572" w:rsidRDefault="00864572" w:rsidP="008638D2">
      <w:pPr>
        <w:ind w:firstLineChars="200" w:firstLine="640"/>
        <w:rPr>
          <w:rFonts w:ascii="仿宋" w:eastAsia="仿宋" w:hAnsi="仿宋"/>
          <w:sz w:val="32"/>
          <w:szCs w:val="32"/>
        </w:rPr>
      </w:pPr>
      <w:r>
        <w:rPr>
          <w:rFonts w:ascii="仿宋" w:eastAsia="仿宋" w:hAnsi="仿宋" w:hint="eastAsia"/>
          <w:sz w:val="32"/>
          <w:szCs w:val="32"/>
        </w:rPr>
        <w:t>法定代表人（或授权代理人）签字：</w:t>
      </w:r>
    </w:p>
    <w:p w:rsidR="00864572" w:rsidRPr="005541A5" w:rsidRDefault="00864572" w:rsidP="00FC2FE8">
      <w:pPr>
        <w:ind w:firstLineChars="200" w:firstLine="640"/>
        <w:rPr>
          <w:rFonts w:ascii="仿宋" w:eastAsia="仿宋" w:hAnsi="仿宋"/>
          <w:sz w:val="32"/>
          <w:szCs w:val="32"/>
        </w:rPr>
      </w:pPr>
      <w:r>
        <w:rPr>
          <w:rFonts w:ascii="仿宋" w:eastAsia="仿宋" w:hAnsi="仿宋" w:hint="eastAsia"/>
          <w:sz w:val="32"/>
          <w:szCs w:val="32"/>
        </w:rPr>
        <w:t>会员（盖章）</w:t>
      </w:r>
      <w:r>
        <w:rPr>
          <w:rFonts w:ascii="仿宋" w:eastAsia="仿宋" w:hAnsi="仿宋"/>
          <w:sz w:val="32"/>
          <w:szCs w:val="32"/>
        </w:rPr>
        <w:t xml:space="preserve">                </w:t>
      </w:r>
      <w:r>
        <w:rPr>
          <w:rFonts w:ascii="仿宋" w:eastAsia="仿宋" w:hAnsi="仿宋" w:hint="eastAsia"/>
          <w:sz w:val="32"/>
          <w:szCs w:val="32"/>
        </w:rPr>
        <w:t>日期：</w:t>
      </w:r>
      <w:r>
        <w:rPr>
          <w:rFonts w:ascii="仿宋" w:eastAsia="仿宋" w:hAnsi="仿宋"/>
          <w:sz w:val="32"/>
          <w:szCs w:val="32"/>
        </w:rPr>
        <w:t xml:space="preserve">   </w:t>
      </w:r>
    </w:p>
    <w:sectPr w:rsidR="00864572" w:rsidRPr="005541A5" w:rsidSect="009A50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CC1" w:rsidRDefault="009E7CC1" w:rsidP="00884C3A">
      <w:r>
        <w:separator/>
      </w:r>
    </w:p>
  </w:endnote>
  <w:endnote w:type="continuationSeparator" w:id="0">
    <w:p w:rsidR="009E7CC1" w:rsidRDefault="009E7CC1" w:rsidP="0088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CC1" w:rsidRDefault="009E7CC1" w:rsidP="00884C3A">
      <w:r>
        <w:separator/>
      </w:r>
    </w:p>
  </w:footnote>
  <w:footnote w:type="continuationSeparator" w:id="0">
    <w:p w:rsidR="009E7CC1" w:rsidRDefault="009E7CC1" w:rsidP="00884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105C1"/>
    <w:multiLevelType w:val="hybridMultilevel"/>
    <w:tmpl w:val="0C9E6062"/>
    <w:lvl w:ilvl="0" w:tplc="DD28078E">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43846049"/>
    <w:multiLevelType w:val="hybridMultilevel"/>
    <w:tmpl w:val="7696CB36"/>
    <w:lvl w:ilvl="0" w:tplc="4990A38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272"/>
    <w:rsid w:val="0000483F"/>
    <w:rsid w:val="000164CF"/>
    <w:rsid w:val="000574A2"/>
    <w:rsid w:val="00074B43"/>
    <w:rsid w:val="00091D38"/>
    <w:rsid w:val="000A75B4"/>
    <w:rsid w:val="000B003C"/>
    <w:rsid w:val="000C5186"/>
    <w:rsid w:val="000D35FB"/>
    <w:rsid w:val="00111326"/>
    <w:rsid w:val="00112830"/>
    <w:rsid w:val="00113D9D"/>
    <w:rsid w:val="0014479E"/>
    <w:rsid w:val="0016002C"/>
    <w:rsid w:val="001615C7"/>
    <w:rsid w:val="0016733D"/>
    <w:rsid w:val="001825AA"/>
    <w:rsid w:val="00184B8C"/>
    <w:rsid w:val="001A03F9"/>
    <w:rsid w:val="001C4A31"/>
    <w:rsid w:val="001C61D2"/>
    <w:rsid w:val="001F1BC0"/>
    <w:rsid w:val="001F5BDE"/>
    <w:rsid w:val="001F6191"/>
    <w:rsid w:val="002021D7"/>
    <w:rsid w:val="00265102"/>
    <w:rsid w:val="002828ED"/>
    <w:rsid w:val="00282BAD"/>
    <w:rsid w:val="002A31A1"/>
    <w:rsid w:val="002B04D6"/>
    <w:rsid w:val="002B3036"/>
    <w:rsid w:val="002B4AAF"/>
    <w:rsid w:val="002C40B3"/>
    <w:rsid w:val="002F07E9"/>
    <w:rsid w:val="00311040"/>
    <w:rsid w:val="00324BC9"/>
    <w:rsid w:val="0037769C"/>
    <w:rsid w:val="003A5BE8"/>
    <w:rsid w:val="003C217E"/>
    <w:rsid w:val="003D0051"/>
    <w:rsid w:val="003E4677"/>
    <w:rsid w:val="00411B32"/>
    <w:rsid w:val="00420DB1"/>
    <w:rsid w:val="004333A8"/>
    <w:rsid w:val="004B4D18"/>
    <w:rsid w:val="004D4289"/>
    <w:rsid w:val="004F42DF"/>
    <w:rsid w:val="005255E1"/>
    <w:rsid w:val="00531E38"/>
    <w:rsid w:val="00535FF0"/>
    <w:rsid w:val="00540E61"/>
    <w:rsid w:val="005541A5"/>
    <w:rsid w:val="005707AE"/>
    <w:rsid w:val="005A5244"/>
    <w:rsid w:val="005D5409"/>
    <w:rsid w:val="00600B70"/>
    <w:rsid w:val="006140BE"/>
    <w:rsid w:val="00625A75"/>
    <w:rsid w:val="00634628"/>
    <w:rsid w:val="00642613"/>
    <w:rsid w:val="00661326"/>
    <w:rsid w:val="00670EE5"/>
    <w:rsid w:val="00671C6E"/>
    <w:rsid w:val="00687580"/>
    <w:rsid w:val="00691C21"/>
    <w:rsid w:val="00696CF3"/>
    <w:rsid w:val="006A50C1"/>
    <w:rsid w:val="006B6272"/>
    <w:rsid w:val="006C22E1"/>
    <w:rsid w:val="006D6E5E"/>
    <w:rsid w:val="006E041A"/>
    <w:rsid w:val="00712EF1"/>
    <w:rsid w:val="00746B8E"/>
    <w:rsid w:val="007565E9"/>
    <w:rsid w:val="00761C68"/>
    <w:rsid w:val="00762CED"/>
    <w:rsid w:val="00767097"/>
    <w:rsid w:val="007776E9"/>
    <w:rsid w:val="0078424E"/>
    <w:rsid w:val="007B6C0F"/>
    <w:rsid w:val="007C06C3"/>
    <w:rsid w:val="007C430B"/>
    <w:rsid w:val="007C56DB"/>
    <w:rsid w:val="007F4A1E"/>
    <w:rsid w:val="007F56DA"/>
    <w:rsid w:val="007F71F9"/>
    <w:rsid w:val="00842B14"/>
    <w:rsid w:val="008506B7"/>
    <w:rsid w:val="00852149"/>
    <w:rsid w:val="008622A7"/>
    <w:rsid w:val="008638D2"/>
    <w:rsid w:val="00864572"/>
    <w:rsid w:val="00872656"/>
    <w:rsid w:val="00884C3A"/>
    <w:rsid w:val="008B43A2"/>
    <w:rsid w:val="008F07D2"/>
    <w:rsid w:val="00903264"/>
    <w:rsid w:val="00923F33"/>
    <w:rsid w:val="009404BA"/>
    <w:rsid w:val="00944B46"/>
    <w:rsid w:val="00947E52"/>
    <w:rsid w:val="0096540C"/>
    <w:rsid w:val="0099537C"/>
    <w:rsid w:val="0099711D"/>
    <w:rsid w:val="009A48CA"/>
    <w:rsid w:val="009A506E"/>
    <w:rsid w:val="009A690D"/>
    <w:rsid w:val="009D0CAF"/>
    <w:rsid w:val="009D39F5"/>
    <w:rsid w:val="009E7CC1"/>
    <w:rsid w:val="009F0597"/>
    <w:rsid w:val="009F3F58"/>
    <w:rsid w:val="009F543F"/>
    <w:rsid w:val="00A24A54"/>
    <w:rsid w:val="00A2663F"/>
    <w:rsid w:val="00A52A16"/>
    <w:rsid w:val="00A625DC"/>
    <w:rsid w:val="00A65AE5"/>
    <w:rsid w:val="00A67B42"/>
    <w:rsid w:val="00A9042F"/>
    <w:rsid w:val="00AA15C1"/>
    <w:rsid w:val="00AB3226"/>
    <w:rsid w:val="00AC1695"/>
    <w:rsid w:val="00AF0072"/>
    <w:rsid w:val="00AF4337"/>
    <w:rsid w:val="00AF692A"/>
    <w:rsid w:val="00AF78EC"/>
    <w:rsid w:val="00B15B09"/>
    <w:rsid w:val="00B23856"/>
    <w:rsid w:val="00B31E2B"/>
    <w:rsid w:val="00B5240C"/>
    <w:rsid w:val="00BA7F8E"/>
    <w:rsid w:val="00BB0AED"/>
    <w:rsid w:val="00BE118D"/>
    <w:rsid w:val="00BE6237"/>
    <w:rsid w:val="00BE7844"/>
    <w:rsid w:val="00BF5C2E"/>
    <w:rsid w:val="00C3343F"/>
    <w:rsid w:val="00C3616E"/>
    <w:rsid w:val="00C46F6D"/>
    <w:rsid w:val="00C657B8"/>
    <w:rsid w:val="00C86354"/>
    <w:rsid w:val="00CE36A7"/>
    <w:rsid w:val="00CF481B"/>
    <w:rsid w:val="00D25E25"/>
    <w:rsid w:val="00D765AE"/>
    <w:rsid w:val="00DA21C1"/>
    <w:rsid w:val="00E67AD6"/>
    <w:rsid w:val="00EB06F5"/>
    <w:rsid w:val="00EB1F51"/>
    <w:rsid w:val="00ED17B6"/>
    <w:rsid w:val="00EE729B"/>
    <w:rsid w:val="00F07594"/>
    <w:rsid w:val="00F418F2"/>
    <w:rsid w:val="00F77FBA"/>
    <w:rsid w:val="00F83673"/>
    <w:rsid w:val="00FC2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2F188E-398F-4521-BDB6-812C26B0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0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1040"/>
    <w:pPr>
      <w:ind w:firstLineChars="200" w:firstLine="420"/>
    </w:pPr>
  </w:style>
  <w:style w:type="paragraph" w:styleId="a4">
    <w:name w:val="header"/>
    <w:basedOn w:val="a"/>
    <w:link w:val="Char"/>
    <w:uiPriority w:val="99"/>
    <w:rsid w:val="00884C3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884C3A"/>
    <w:rPr>
      <w:rFonts w:cs="Times New Roman"/>
      <w:sz w:val="18"/>
      <w:szCs w:val="18"/>
    </w:rPr>
  </w:style>
  <w:style w:type="paragraph" w:styleId="a5">
    <w:name w:val="footer"/>
    <w:basedOn w:val="a"/>
    <w:link w:val="Char0"/>
    <w:uiPriority w:val="99"/>
    <w:rsid w:val="00884C3A"/>
    <w:pPr>
      <w:tabs>
        <w:tab w:val="center" w:pos="4153"/>
        <w:tab w:val="right" w:pos="8306"/>
      </w:tabs>
      <w:snapToGrid w:val="0"/>
      <w:jc w:val="left"/>
    </w:pPr>
    <w:rPr>
      <w:sz w:val="18"/>
      <w:szCs w:val="18"/>
    </w:rPr>
  </w:style>
  <w:style w:type="character" w:customStyle="1" w:styleId="Char0">
    <w:name w:val="页脚 Char"/>
    <w:link w:val="a5"/>
    <w:uiPriority w:val="99"/>
    <w:locked/>
    <w:rsid w:val="00884C3A"/>
    <w:rPr>
      <w:rFonts w:cs="Times New Roman"/>
      <w:sz w:val="18"/>
      <w:szCs w:val="18"/>
    </w:rPr>
  </w:style>
  <w:style w:type="paragraph" w:styleId="a6">
    <w:name w:val="Balloon Text"/>
    <w:basedOn w:val="a"/>
    <w:link w:val="Char1"/>
    <w:uiPriority w:val="99"/>
    <w:semiHidden/>
    <w:rsid w:val="00884C3A"/>
    <w:rPr>
      <w:sz w:val="18"/>
      <w:szCs w:val="18"/>
    </w:rPr>
  </w:style>
  <w:style w:type="character" w:customStyle="1" w:styleId="Char1">
    <w:name w:val="批注框文本 Char"/>
    <w:link w:val="a6"/>
    <w:uiPriority w:val="99"/>
    <w:semiHidden/>
    <w:locked/>
    <w:rsid w:val="00884C3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会员交易资金电子结算告知书</dc:title>
  <dc:subject/>
  <dc:creator>wangx</dc:creator>
  <cp:keywords/>
  <dc:description/>
  <cp:lastModifiedBy>wangx</cp:lastModifiedBy>
  <cp:revision>17</cp:revision>
  <cp:lastPrinted>2015-11-27T07:37:00Z</cp:lastPrinted>
  <dcterms:created xsi:type="dcterms:W3CDTF">2015-12-04T09:10:00Z</dcterms:created>
  <dcterms:modified xsi:type="dcterms:W3CDTF">2015-12-04T11:37:00Z</dcterms:modified>
</cp:coreProperties>
</file>