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rFonts w:hint="eastAsia" w:ascii="华文中宋" w:hAnsi="华文中宋" w:eastAsia="华文中宋"/>
          <w:b/>
          <w:bCs/>
          <w:sz w:val="36"/>
          <w:szCs w:val="36"/>
          <w:lang w:val="en-US" w:eastAsia="zh-CN"/>
        </w:rPr>
      </w:pPr>
    </w:p>
    <w:p>
      <w:pPr>
        <w:pStyle w:val="3"/>
        <w:widowControl/>
        <w:shd w:val="clear" w:color="auto" w:fill="FFFFFF"/>
        <w:spacing w:before="0" w:beforeAutospacing="0" w:after="0" w:afterAutospacing="0" w:line="540" w:lineRule="exact"/>
        <w:ind w:firstLine="743"/>
        <w:jc w:val="center"/>
        <w:rPr>
          <w:rFonts w:hint="default" w:ascii="Helvetica" w:hAnsi="Helvetica" w:cs="Helvetica"/>
          <w:color w:val="333333"/>
          <w:sz w:val="37"/>
          <w:szCs w:val="37"/>
          <w:shd w:val="clear" w:color="auto" w:fill="FFFFFF"/>
        </w:rPr>
      </w:pPr>
      <w:r>
        <w:rPr>
          <w:rFonts w:hint="eastAsia" w:ascii="Helvetica" w:hAnsi="Helvetica" w:cs="Helvetica"/>
          <w:color w:val="333333"/>
          <w:sz w:val="37"/>
          <w:szCs w:val="37"/>
          <w:shd w:val="clear" w:color="auto" w:fill="FFFFFF"/>
          <w:lang w:eastAsia="zh-CN"/>
        </w:rPr>
        <w:t>湘阴县军粮供应</w:t>
      </w:r>
      <w:r>
        <w:rPr>
          <w:rFonts w:ascii="Helvetica" w:hAnsi="Helvetica" w:cs="Helvetica"/>
          <w:color w:val="333333"/>
          <w:sz w:val="37"/>
          <w:szCs w:val="37"/>
          <w:shd w:val="clear" w:color="auto" w:fill="FFFFFF"/>
        </w:rPr>
        <w:t>有限公司</w:t>
      </w:r>
    </w:p>
    <w:p>
      <w:pPr>
        <w:pStyle w:val="3"/>
        <w:widowControl/>
        <w:shd w:val="clear" w:color="auto" w:fill="FFFFFF"/>
        <w:spacing w:before="0" w:beforeAutospacing="0" w:after="0" w:afterAutospacing="0" w:line="540" w:lineRule="exact"/>
        <w:ind w:firstLine="743"/>
        <w:jc w:val="center"/>
        <w:rPr>
          <w:rFonts w:hint="default" w:ascii="Helvetica" w:hAnsi="Helvetica" w:cs="Helvetica"/>
          <w:color w:val="333333"/>
          <w:sz w:val="37"/>
          <w:szCs w:val="37"/>
        </w:rPr>
      </w:pPr>
      <w:r>
        <w:rPr>
          <w:rFonts w:hint="eastAsia" w:ascii="Helvetica" w:hAnsi="Helvetica" w:cs="Helvetica"/>
          <w:color w:val="333333"/>
          <w:sz w:val="37"/>
          <w:szCs w:val="37"/>
          <w:shd w:val="clear" w:color="auto" w:fill="FFFFFF"/>
          <w:lang w:eastAsia="zh-CN"/>
        </w:rPr>
        <w:t>县级成品粮</w:t>
      </w:r>
      <w:r>
        <w:rPr>
          <w:rFonts w:ascii="Helvetica" w:hAnsi="Helvetica" w:cs="Helvetica"/>
          <w:color w:val="333333"/>
          <w:sz w:val="37"/>
          <w:szCs w:val="37"/>
          <w:shd w:val="clear" w:color="auto" w:fill="FFFFFF"/>
        </w:rPr>
        <w:t>竞价采购交易细则</w:t>
      </w:r>
    </w:p>
    <w:p>
      <w:pPr>
        <w:ind w:firstLine="600"/>
        <w:jc w:val="center"/>
        <w:rPr>
          <w:rFonts w:ascii="黑体" w:eastAsia="黑体"/>
          <w:bCs/>
          <w:szCs w:val="30"/>
        </w:rPr>
      </w:pPr>
      <w:r>
        <w:rPr>
          <w:rFonts w:hint="eastAsia" w:ascii="黑体" w:eastAsia="黑体"/>
          <w:bCs/>
          <w:szCs w:val="30"/>
        </w:rPr>
        <w:t>（</w:t>
      </w:r>
      <w:r>
        <w:rPr>
          <w:rFonts w:hint="eastAsia" w:ascii="黑体" w:eastAsia="黑体"/>
          <w:bCs/>
          <w:color w:val="FF0000"/>
          <w:szCs w:val="30"/>
        </w:rPr>
        <w:t>202</w:t>
      </w:r>
      <w:r>
        <w:rPr>
          <w:rFonts w:hint="eastAsia" w:ascii="黑体" w:eastAsia="黑体"/>
          <w:bCs/>
          <w:color w:val="FF0000"/>
          <w:szCs w:val="30"/>
          <w:lang w:val="en-US" w:eastAsia="zh-CN"/>
        </w:rPr>
        <w:t>4</w:t>
      </w:r>
      <w:r>
        <w:rPr>
          <w:rFonts w:hint="eastAsia" w:ascii="黑体" w:eastAsia="黑体"/>
          <w:bCs/>
          <w:color w:val="FF0000"/>
          <w:szCs w:val="30"/>
        </w:rPr>
        <w:t>年</w:t>
      </w:r>
      <w:r>
        <w:rPr>
          <w:rFonts w:hint="eastAsia" w:ascii="黑体" w:eastAsia="黑体"/>
          <w:bCs/>
          <w:color w:val="FF0000"/>
          <w:szCs w:val="30"/>
          <w:lang w:val="en-US" w:eastAsia="zh-CN"/>
        </w:rPr>
        <w:t>4</w:t>
      </w:r>
      <w:r>
        <w:rPr>
          <w:rFonts w:hint="eastAsia" w:ascii="黑体" w:eastAsia="黑体"/>
          <w:bCs/>
          <w:color w:val="FF0000"/>
          <w:szCs w:val="30"/>
        </w:rPr>
        <w:t>月</w:t>
      </w:r>
      <w:r>
        <w:rPr>
          <w:rFonts w:hint="eastAsia" w:ascii="黑体" w:eastAsia="黑体"/>
          <w:bCs/>
          <w:color w:val="FF0000"/>
          <w:szCs w:val="30"/>
          <w:lang w:val="en-US" w:eastAsia="zh-CN"/>
        </w:rPr>
        <w:t>10</w:t>
      </w:r>
      <w:r>
        <w:rPr>
          <w:rFonts w:hint="eastAsia" w:ascii="黑体" w:eastAsia="黑体"/>
          <w:bCs/>
          <w:color w:val="FF0000"/>
          <w:szCs w:val="30"/>
        </w:rPr>
        <w:t>日</w:t>
      </w:r>
      <w:r>
        <w:rPr>
          <w:rFonts w:hint="eastAsia" w:ascii="黑体" w:eastAsia="黑体"/>
          <w:bCs/>
          <w:szCs w:val="30"/>
        </w:rPr>
        <w:t>）</w:t>
      </w:r>
    </w:p>
    <w:p>
      <w:pPr>
        <w:pStyle w:val="2"/>
        <w:spacing w:before="204" w:after="204"/>
        <w:rPr>
          <w:rFonts w:ascii="仿宋" w:hAnsi="仿宋" w:eastAsia="仿宋" w:cs="仿宋"/>
        </w:rPr>
      </w:pPr>
      <w:r>
        <w:rPr>
          <w:rFonts w:hint="eastAsia" w:ascii="仿宋" w:hAnsi="仿宋" w:eastAsia="仿宋" w:cs="仿宋"/>
        </w:rPr>
        <w:t>第一章  总  则</w:t>
      </w:r>
    </w:p>
    <w:p>
      <w:pPr>
        <w:ind w:firstLine="600"/>
        <w:rPr>
          <w:rFonts w:ascii="仿宋" w:hAnsi="仿宋" w:eastAsia="仿宋" w:cs="仿宋"/>
          <w:spacing w:val="6"/>
          <w:szCs w:val="30"/>
          <w:lang w:val="zh-CN"/>
        </w:rPr>
      </w:pPr>
      <w:r>
        <w:rPr>
          <w:rFonts w:hint="eastAsia" w:ascii="仿宋" w:hAnsi="仿宋" w:eastAsia="仿宋" w:cs="仿宋"/>
          <w:szCs w:val="30"/>
        </w:rPr>
        <w:t>第一条  受</w:t>
      </w:r>
      <w:r>
        <w:rPr>
          <w:rFonts w:hint="eastAsia" w:ascii="仿宋" w:hAnsi="仿宋" w:eastAsia="仿宋" w:cs="仿宋"/>
          <w:color w:val="333333"/>
          <w:szCs w:val="30"/>
          <w:shd w:val="clear" w:color="auto" w:fill="FFFFFF"/>
          <w:lang w:eastAsia="zh-CN"/>
        </w:rPr>
        <w:t>湘阴县军粮供应有限公司</w:t>
      </w:r>
      <w:r>
        <w:rPr>
          <w:rFonts w:hint="eastAsia" w:ascii="仿宋" w:hAnsi="仿宋" w:eastAsia="仿宋" w:cs="仿宋"/>
          <w:szCs w:val="30"/>
        </w:rPr>
        <w:t>（以下简称“委托方”）的委托，湖南粮食中心批发市场（以下简称“湖南市场”）承担本次委托方</w:t>
      </w:r>
      <w:r>
        <w:rPr>
          <w:rFonts w:hint="eastAsia" w:ascii="仿宋" w:hAnsi="仿宋" w:eastAsia="仿宋" w:cs="仿宋"/>
          <w:szCs w:val="30"/>
          <w:lang w:eastAsia="zh-CN"/>
        </w:rPr>
        <w:t>县级成品粮</w:t>
      </w:r>
      <w:r>
        <w:rPr>
          <w:rFonts w:hint="eastAsia" w:ascii="仿宋" w:hAnsi="仿宋" w:eastAsia="仿宋" w:cs="仿宋"/>
          <w:szCs w:val="30"/>
        </w:rPr>
        <w:t>竞价采购的组织工作。</w:t>
      </w:r>
      <w:r>
        <w:rPr>
          <w:rFonts w:hint="eastAsia" w:ascii="仿宋" w:hAnsi="仿宋" w:eastAsia="仿宋" w:cs="仿宋"/>
          <w:spacing w:val="6"/>
          <w:szCs w:val="30"/>
          <w:lang w:val="zh-CN"/>
        </w:rPr>
        <w:t>为保证交易活动顺利进行，特制定本交易细则。</w:t>
      </w:r>
    </w:p>
    <w:p>
      <w:pPr>
        <w:ind w:firstLine="600"/>
        <w:rPr>
          <w:rFonts w:ascii="仿宋" w:hAnsi="仿宋" w:eastAsia="仿宋" w:cs="仿宋"/>
          <w:szCs w:val="30"/>
        </w:rPr>
      </w:pPr>
      <w:r>
        <w:rPr>
          <w:rFonts w:hint="eastAsia" w:ascii="仿宋" w:hAnsi="仿宋" w:eastAsia="仿宋" w:cs="仿宋"/>
          <w:szCs w:val="30"/>
        </w:rPr>
        <w:t>第二条  委托方作为本次交易活动的买方代表，负责与成交单位签订合同、具体办理粮食入库、结算和商务等事宜。本次交易的卖方为</w:t>
      </w:r>
      <w:r>
        <w:rPr>
          <w:rFonts w:hint="eastAsia" w:ascii="仿宋" w:hAnsi="仿宋" w:eastAsia="仿宋" w:cs="仿宋"/>
          <w:spacing w:val="6"/>
          <w:szCs w:val="30"/>
          <w:lang w:val="zh-CN"/>
        </w:rPr>
        <w:t>自愿报名的</w:t>
      </w:r>
      <w:r>
        <w:rPr>
          <w:rFonts w:hint="eastAsia" w:ascii="仿宋" w:hAnsi="仿宋" w:eastAsia="仿宋" w:cs="仿宋"/>
          <w:color w:val="C00000"/>
          <w:spacing w:val="6"/>
          <w:szCs w:val="30"/>
          <w:lang w:val="zh-CN"/>
        </w:rPr>
        <w:t>湘阴县</w:t>
      </w:r>
      <w:r>
        <w:rPr>
          <w:rFonts w:hint="eastAsia" w:ascii="仿宋" w:hAnsi="仿宋" w:eastAsia="仿宋" w:cs="仿宋"/>
          <w:spacing w:val="6"/>
          <w:szCs w:val="30"/>
          <w:lang w:val="zh-CN"/>
        </w:rPr>
        <w:t>内具有</w:t>
      </w:r>
      <w:r>
        <w:rPr>
          <w:rFonts w:hint="eastAsia" w:ascii="仿宋" w:hAnsi="仿宋" w:eastAsia="仿宋" w:cs="仿宋"/>
          <w:spacing w:val="6"/>
          <w:szCs w:val="30"/>
          <w:lang w:val="zh-CN" w:eastAsia="zh-CN"/>
        </w:rPr>
        <w:t>粮食经营资格的企业</w:t>
      </w:r>
      <w:r>
        <w:rPr>
          <w:rFonts w:hint="eastAsia" w:ascii="仿宋" w:hAnsi="仿宋" w:eastAsia="仿宋" w:cs="仿宋"/>
          <w:szCs w:val="30"/>
        </w:rPr>
        <w:t>。</w:t>
      </w:r>
    </w:p>
    <w:p>
      <w:pPr>
        <w:ind w:firstLine="600"/>
        <w:rPr>
          <w:rFonts w:ascii="仿宋" w:hAnsi="仿宋" w:eastAsia="仿宋" w:cs="仿宋"/>
          <w:szCs w:val="30"/>
        </w:rPr>
      </w:pPr>
      <w:r>
        <w:rPr>
          <w:rFonts w:hint="eastAsia" w:ascii="仿宋" w:hAnsi="仿宋" w:eastAsia="仿宋" w:cs="仿宋"/>
          <w:szCs w:val="30"/>
        </w:rPr>
        <w:t>第三条  湖南市场按照“公开、公平、公正”的原则组织竞价采购，参加交易的各方必须遵守本细则。</w:t>
      </w:r>
    </w:p>
    <w:p>
      <w:pPr>
        <w:pStyle w:val="2"/>
        <w:spacing w:before="204" w:after="204"/>
        <w:rPr>
          <w:rFonts w:ascii="仿宋" w:hAnsi="仿宋" w:eastAsia="仿宋" w:cs="仿宋"/>
          <w:szCs w:val="30"/>
        </w:rPr>
      </w:pPr>
      <w:r>
        <w:rPr>
          <w:rFonts w:hint="eastAsia" w:ascii="仿宋" w:hAnsi="仿宋" w:eastAsia="仿宋" w:cs="仿宋"/>
          <w:szCs w:val="30"/>
        </w:rPr>
        <w:t>第二章  交易准备</w:t>
      </w:r>
    </w:p>
    <w:p>
      <w:pPr>
        <w:ind w:firstLine="600"/>
        <w:rPr>
          <w:rFonts w:ascii="仿宋" w:hAnsi="仿宋" w:eastAsia="仿宋" w:cs="仿宋"/>
          <w:szCs w:val="30"/>
        </w:rPr>
      </w:pPr>
      <w:r>
        <w:rPr>
          <w:rFonts w:hint="eastAsia" w:ascii="仿宋" w:hAnsi="仿宋" w:eastAsia="仿宋" w:cs="仿宋"/>
          <w:szCs w:val="30"/>
        </w:rPr>
        <w:t>第四条  委托方须向湖南市场提供《竞价交易委托书》、《竞价交易清单》等相关文件，并按规定交纳保证金。</w:t>
      </w:r>
    </w:p>
    <w:p>
      <w:pPr>
        <w:ind w:firstLine="600"/>
        <w:rPr>
          <w:rFonts w:ascii="仿宋" w:hAnsi="仿宋" w:eastAsia="仿宋" w:cs="仿宋"/>
          <w:szCs w:val="30"/>
          <w:lang w:val="zh-CN"/>
        </w:rPr>
      </w:pPr>
      <w:r>
        <w:rPr>
          <w:rFonts w:hint="eastAsia" w:ascii="仿宋" w:hAnsi="仿宋" w:eastAsia="仿宋" w:cs="仿宋"/>
          <w:szCs w:val="30"/>
        </w:rPr>
        <w:t xml:space="preserve">第五条  </w:t>
      </w:r>
      <w:r>
        <w:rPr>
          <w:rFonts w:hint="eastAsia" w:ascii="仿宋" w:hAnsi="仿宋" w:eastAsia="仿宋" w:cs="仿宋"/>
          <w:szCs w:val="30"/>
          <w:lang w:val="zh-CN"/>
        </w:rPr>
        <w:t>参加竞价采购的</w:t>
      </w:r>
      <w:r>
        <w:rPr>
          <w:rFonts w:hint="eastAsia" w:ascii="仿宋" w:hAnsi="仿宋" w:eastAsia="仿宋" w:cs="仿宋"/>
          <w:szCs w:val="30"/>
        </w:rPr>
        <w:t>客户</w:t>
      </w:r>
      <w:r>
        <w:rPr>
          <w:rFonts w:hint="eastAsia" w:ascii="仿宋" w:hAnsi="仿宋" w:eastAsia="仿宋" w:cs="仿宋"/>
          <w:szCs w:val="30"/>
          <w:lang w:val="zh-CN"/>
        </w:rPr>
        <w:t>须交验企业营业执照副本及复印件、法定代表人签字并加盖单位公章的《交易授权书》、法定代表人身份证复印件、交易代表身份证复印件。参加现场交易的，须携带单位公章或合同专用章及本人身份证原件，在报到时进行资格确认；参加网上竞价交易的，须在交易前将上述资料交至交易市场，办理网上竞价交易手续。</w:t>
      </w:r>
    </w:p>
    <w:p>
      <w:pPr>
        <w:ind w:firstLine="600"/>
        <w:rPr>
          <w:rFonts w:ascii="仿宋" w:hAnsi="仿宋" w:eastAsia="仿宋" w:cs="仿宋"/>
          <w:szCs w:val="30"/>
        </w:rPr>
      </w:pPr>
      <w:r>
        <w:rPr>
          <w:rFonts w:hint="eastAsia" w:ascii="仿宋" w:hAnsi="仿宋" w:eastAsia="仿宋" w:cs="仿宋"/>
          <w:color w:val="FF0000"/>
          <w:szCs w:val="30"/>
        </w:rPr>
        <w:t>交易双方须在规定的时间内向湖南市场预交交易保证金10元/吨和履约保证金</w:t>
      </w:r>
      <w:r>
        <w:rPr>
          <w:rFonts w:hint="eastAsia" w:ascii="仿宋" w:hAnsi="仿宋" w:eastAsia="仿宋" w:cs="仿宋"/>
          <w:color w:val="FF0000"/>
          <w:szCs w:val="30"/>
          <w:lang w:val="en-US" w:eastAsia="zh-CN"/>
        </w:rPr>
        <w:t>1</w:t>
      </w:r>
      <w:r>
        <w:rPr>
          <w:rFonts w:hint="eastAsia" w:ascii="仿宋" w:hAnsi="仿宋" w:eastAsia="仿宋" w:cs="仿宋"/>
          <w:color w:val="FF0000"/>
          <w:szCs w:val="30"/>
        </w:rPr>
        <w:t>00元/吨，</w:t>
      </w:r>
      <w:r>
        <w:rPr>
          <w:rFonts w:hint="eastAsia" w:ascii="仿宋" w:hAnsi="仿宋" w:eastAsia="仿宋" w:cs="仿宋"/>
          <w:szCs w:val="30"/>
        </w:rPr>
        <w:t>在交易前汇至湖南市场指定帐户，付款时应注明交易名称并向湖南市场进行确认。</w:t>
      </w:r>
    </w:p>
    <w:p>
      <w:pPr>
        <w:ind w:firstLine="600"/>
        <w:rPr>
          <w:rFonts w:ascii="仿宋" w:hAnsi="仿宋" w:eastAsia="仿宋" w:cs="仿宋"/>
          <w:szCs w:val="30"/>
        </w:rPr>
      </w:pPr>
      <w:r>
        <w:rPr>
          <w:rFonts w:hint="eastAsia" w:ascii="仿宋" w:hAnsi="仿宋" w:eastAsia="仿宋" w:cs="仿宋"/>
          <w:szCs w:val="30"/>
        </w:rPr>
        <w:t>湖南市场收取保证金及结算账户：</w:t>
      </w:r>
    </w:p>
    <w:p>
      <w:pPr>
        <w:ind w:firstLine="602"/>
        <w:rPr>
          <w:rFonts w:ascii="仿宋" w:hAnsi="仿宋" w:eastAsia="仿宋" w:cs="仿宋"/>
          <w:szCs w:val="30"/>
        </w:rPr>
      </w:pPr>
      <w:r>
        <w:rPr>
          <w:rFonts w:hint="eastAsia" w:ascii="仿宋" w:hAnsi="仿宋" w:eastAsia="仿宋" w:cs="仿宋"/>
          <w:b/>
          <w:szCs w:val="30"/>
        </w:rPr>
        <w:t>开户银行：</w:t>
      </w:r>
      <w:r>
        <w:rPr>
          <w:rFonts w:hint="eastAsia" w:ascii="仿宋" w:hAnsi="仿宋" w:eastAsia="仿宋" w:cs="仿宋"/>
          <w:kern w:val="0"/>
          <w:szCs w:val="30"/>
        </w:rPr>
        <w:t>中国农业发展银行长沙市开福区支行</w:t>
      </w:r>
    </w:p>
    <w:p>
      <w:pPr>
        <w:ind w:firstLine="602"/>
        <w:rPr>
          <w:rFonts w:ascii="仿宋" w:hAnsi="仿宋" w:eastAsia="仿宋" w:cs="仿宋"/>
          <w:szCs w:val="30"/>
        </w:rPr>
      </w:pPr>
      <w:r>
        <w:rPr>
          <w:rFonts w:hint="eastAsia" w:ascii="仿宋" w:hAnsi="仿宋" w:eastAsia="仿宋" w:cs="仿宋"/>
          <w:b/>
          <w:szCs w:val="30"/>
        </w:rPr>
        <w:t>户    名：</w:t>
      </w:r>
      <w:r>
        <w:rPr>
          <w:rFonts w:hint="eastAsia" w:ascii="仿宋" w:hAnsi="仿宋" w:eastAsia="仿宋" w:cs="仿宋"/>
          <w:kern w:val="0"/>
          <w:szCs w:val="30"/>
        </w:rPr>
        <w:t>湖南粮食中心批发市场</w:t>
      </w:r>
    </w:p>
    <w:p>
      <w:pPr>
        <w:ind w:firstLine="602"/>
        <w:rPr>
          <w:rFonts w:ascii="仿宋" w:hAnsi="仿宋" w:eastAsia="仿宋" w:cs="仿宋"/>
          <w:szCs w:val="30"/>
        </w:rPr>
      </w:pPr>
      <w:r>
        <w:rPr>
          <w:rFonts w:hint="eastAsia" w:ascii="仿宋" w:hAnsi="仿宋" w:eastAsia="仿宋" w:cs="仿宋"/>
          <w:b/>
          <w:szCs w:val="30"/>
        </w:rPr>
        <w:t>帐    号：</w:t>
      </w:r>
      <w:r>
        <w:rPr>
          <w:rFonts w:hint="eastAsia" w:ascii="仿宋" w:hAnsi="仿宋" w:eastAsia="仿宋" w:cs="仿宋"/>
          <w:kern w:val="0"/>
          <w:szCs w:val="30"/>
        </w:rPr>
        <w:t>20343010200100000033161</w:t>
      </w:r>
    </w:p>
    <w:p>
      <w:pPr>
        <w:ind w:firstLine="600"/>
        <w:rPr>
          <w:rFonts w:ascii="仿宋" w:hAnsi="仿宋" w:eastAsia="仿宋" w:cs="仿宋"/>
          <w:szCs w:val="30"/>
        </w:rPr>
      </w:pPr>
      <w:r>
        <w:rPr>
          <w:rFonts w:hint="eastAsia" w:ascii="仿宋" w:hAnsi="仿宋" w:eastAsia="仿宋" w:cs="仿宋"/>
          <w:szCs w:val="30"/>
        </w:rPr>
        <w:t>第六条  湖南市场审验交易代表的各项资料后，确认交易资格。参加现场竞价交易的，由交易市场在交易会前一个工作日将交易代表证、交易密码及相关资料发给交易代表。参加网上竞价交易的，交易市场将电子密钥、交易密码及相关资料发给交易代表。电子密钥、交易密码等为竞价交易方的资格凭证，属竞价交易方的商业机密，须妥善保管，如丢失或泄露责任自负。</w:t>
      </w:r>
    </w:p>
    <w:p>
      <w:pPr>
        <w:ind w:firstLine="608"/>
        <w:rPr>
          <w:rFonts w:ascii="仿宋" w:hAnsi="仿宋" w:eastAsia="仿宋" w:cs="仿宋"/>
          <w:bCs/>
          <w:szCs w:val="30"/>
        </w:rPr>
      </w:pPr>
      <w:r>
        <w:rPr>
          <w:rFonts w:hint="eastAsia" w:ascii="仿宋" w:hAnsi="仿宋" w:eastAsia="仿宋" w:cs="仿宋"/>
          <w:spacing w:val="2"/>
          <w:szCs w:val="30"/>
        </w:rPr>
        <w:t>第七条  湖南市场于竞价采购交易会前三天在</w:t>
      </w:r>
      <w:r>
        <w:rPr>
          <w:rFonts w:hint="eastAsia" w:ascii="仿宋" w:hAnsi="仿宋" w:eastAsia="仿宋" w:cs="仿宋"/>
          <w:szCs w:val="30"/>
        </w:rPr>
        <w:t>潇湘粮网</w:t>
      </w:r>
      <w:r>
        <w:fldChar w:fldCharType="begin"/>
      </w:r>
      <w:r>
        <w:instrText xml:space="preserve"> HYPERLINK "http://www.hunangrain.com.cn" </w:instrText>
      </w:r>
      <w:r>
        <w:fldChar w:fldCharType="separate"/>
      </w:r>
      <w:r>
        <w:rPr>
          <w:rStyle w:val="13"/>
          <w:rFonts w:hint="eastAsia" w:ascii="仿宋" w:hAnsi="仿宋" w:eastAsia="仿宋" w:cs="仿宋"/>
          <w:color w:val="auto"/>
          <w:szCs w:val="30"/>
        </w:rPr>
        <w:t>www.hunangrain.com.cn</w:t>
      </w:r>
      <w:r>
        <w:rPr>
          <w:rStyle w:val="13"/>
          <w:rFonts w:hint="eastAsia" w:ascii="仿宋" w:hAnsi="仿宋" w:eastAsia="仿宋" w:cs="仿宋"/>
          <w:color w:val="auto"/>
          <w:szCs w:val="30"/>
        </w:rPr>
        <w:fldChar w:fldCharType="end"/>
      </w:r>
      <w:r>
        <w:rPr>
          <w:rFonts w:hint="eastAsia" w:ascii="仿宋" w:hAnsi="仿宋" w:eastAsia="仿宋" w:cs="仿宋"/>
          <w:szCs w:val="30"/>
        </w:rPr>
        <w:t>发</w:t>
      </w:r>
      <w:r>
        <w:rPr>
          <w:rFonts w:hint="eastAsia" w:ascii="仿宋" w:hAnsi="仿宋" w:eastAsia="仿宋" w:cs="仿宋"/>
          <w:spacing w:val="2"/>
          <w:szCs w:val="30"/>
        </w:rPr>
        <w:t>布《</w:t>
      </w:r>
      <w:r>
        <w:rPr>
          <w:rFonts w:hint="eastAsia" w:ascii="仿宋" w:hAnsi="仿宋" w:eastAsia="仿宋" w:cs="仿宋"/>
          <w:color w:val="333333"/>
          <w:szCs w:val="30"/>
          <w:shd w:val="clear" w:color="auto" w:fill="FFFFFF"/>
          <w:lang w:eastAsia="zh-CN"/>
        </w:rPr>
        <w:t>湘阴县军粮供应有限公司</w:t>
      </w:r>
      <w:r>
        <w:rPr>
          <w:rFonts w:hint="eastAsia" w:ascii="仿宋" w:hAnsi="仿宋" w:eastAsia="仿宋" w:cs="仿宋"/>
          <w:bCs/>
          <w:color w:val="000000"/>
          <w:szCs w:val="30"/>
          <w:lang w:eastAsia="zh-CN"/>
        </w:rPr>
        <w:t>县级成品粮</w:t>
      </w:r>
      <w:r>
        <w:rPr>
          <w:rFonts w:hint="eastAsia" w:ascii="仿宋" w:hAnsi="仿宋" w:eastAsia="仿宋" w:cs="仿宋"/>
          <w:bCs/>
          <w:color w:val="000000"/>
          <w:szCs w:val="30"/>
        </w:rPr>
        <w:t>竞价采购交易公告</w:t>
      </w:r>
      <w:r>
        <w:rPr>
          <w:rFonts w:hint="eastAsia" w:ascii="仿宋" w:hAnsi="仿宋" w:eastAsia="仿宋" w:cs="仿宋"/>
          <w:spacing w:val="2"/>
          <w:szCs w:val="30"/>
        </w:rPr>
        <w:t>》，竞价采购最高价在交易会前以</w:t>
      </w:r>
      <w:r>
        <w:rPr>
          <w:rFonts w:hint="eastAsia" w:ascii="仿宋" w:hAnsi="仿宋" w:eastAsia="仿宋" w:cs="仿宋"/>
          <w:spacing w:val="2"/>
          <w:szCs w:val="30"/>
          <w:lang w:eastAsia="zh-CN"/>
        </w:rPr>
        <w:t>网上</w:t>
      </w:r>
      <w:r>
        <w:rPr>
          <w:rFonts w:hint="eastAsia" w:ascii="仿宋" w:hAnsi="仿宋" w:eastAsia="仿宋" w:cs="仿宋"/>
          <w:spacing w:val="2"/>
          <w:szCs w:val="30"/>
        </w:rPr>
        <w:t>公告方式发布</w:t>
      </w:r>
      <w:r>
        <w:rPr>
          <w:rFonts w:hint="eastAsia" w:ascii="仿宋" w:hAnsi="仿宋" w:eastAsia="仿宋" w:cs="仿宋"/>
          <w:spacing w:val="2"/>
          <w:szCs w:val="30"/>
          <w:lang w:val="en-US" w:eastAsia="zh-CN"/>
        </w:rPr>
        <w:t>(</w:t>
      </w:r>
      <w:r>
        <w:rPr>
          <w:rFonts w:hint="eastAsia" w:ascii="仿宋" w:hAnsi="仿宋" w:eastAsia="仿宋" w:cs="仿宋"/>
          <w:b/>
          <w:bCs/>
          <w:color w:val="FF0000"/>
          <w:spacing w:val="2"/>
          <w:szCs w:val="30"/>
          <w:lang w:val="en-US" w:eastAsia="zh-CN"/>
        </w:rPr>
        <w:t>详见当期交易清单</w:t>
      </w:r>
      <w:r>
        <w:rPr>
          <w:rFonts w:hint="eastAsia" w:ascii="仿宋" w:hAnsi="仿宋" w:eastAsia="仿宋" w:cs="仿宋"/>
          <w:spacing w:val="2"/>
          <w:szCs w:val="30"/>
          <w:lang w:val="en-US" w:eastAsia="zh-CN"/>
        </w:rPr>
        <w:t>)</w:t>
      </w:r>
      <w:r>
        <w:rPr>
          <w:rFonts w:hint="eastAsia" w:ascii="仿宋" w:hAnsi="仿宋" w:eastAsia="仿宋" w:cs="仿宋"/>
          <w:spacing w:val="2"/>
          <w:szCs w:val="30"/>
        </w:rPr>
        <w:t>。</w:t>
      </w:r>
    </w:p>
    <w:p>
      <w:pPr>
        <w:ind w:firstLine="608"/>
        <w:rPr>
          <w:rFonts w:ascii="仿宋" w:hAnsi="仿宋" w:eastAsia="仿宋" w:cs="仿宋"/>
          <w:color w:val="auto"/>
          <w:spacing w:val="2"/>
          <w:szCs w:val="30"/>
        </w:rPr>
      </w:pPr>
      <w:r>
        <w:rPr>
          <w:rFonts w:hint="eastAsia" w:ascii="仿宋" w:hAnsi="仿宋" w:eastAsia="仿宋" w:cs="仿宋"/>
          <w:spacing w:val="2"/>
          <w:szCs w:val="30"/>
        </w:rPr>
        <w:t>第八条  竞价采购交易清单。</w:t>
      </w:r>
      <w:r>
        <w:rPr>
          <w:rFonts w:hint="eastAsia" w:ascii="仿宋" w:hAnsi="仿宋" w:eastAsia="仿宋" w:cs="仿宋"/>
          <w:b/>
          <w:bCs/>
          <w:color w:val="FF0000"/>
          <w:spacing w:val="2"/>
          <w:szCs w:val="30"/>
        </w:rPr>
        <w:t>竞价采购</w:t>
      </w:r>
      <w:r>
        <w:rPr>
          <w:rFonts w:hint="eastAsia" w:ascii="仿宋" w:hAnsi="仿宋" w:eastAsia="仿宋" w:cs="仿宋"/>
          <w:b/>
          <w:bCs/>
          <w:color w:val="FF0000"/>
          <w:spacing w:val="2"/>
          <w:szCs w:val="30"/>
          <w:lang w:eastAsia="zh-CN"/>
        </w:rPr>
        <w:t>普通中晚籼米</w:t>
      </w:r>
      <w:r>
        <w:rPr>
          <w:rFonts w:hint="eastAsia" w:ascii="仿宋" w:hAnsi="仿宋" w:eastAsia="仿宋" w:cs="仿宋"/>
          <w:b/>
          <w:bCs/>
          <w:color w:val="FF0000"/>
          <w:spacing w:val="2"/>
          <w:szCs w:val="30"/>
          <w:lang w:val="en-US" w:eastAsia="zh-CN"/>
        </w:rPr>
        <w:t>1000</w:t>
      </w:r>
      <w:r>
        <w:rPr>
          <w:rFonts w:hint="eastAsia" w:ascii="仿宋" w:hAnsi="仿宋" w:eastAsia="仿宋" w:cs="仿宋"/>
          <w:b/>
          <w:bCs/>
          <w:color w:val="FF0000"/>
          <w:szCs w:val="30"/>
        </w:rPr>
        <w:t>吨。质量要求：加工精度：精碾；碎米≤</w:t>
      </w:r>
      <w:r>
        <w:rPr>
          <w:rFonts w:hint="eastAsia" w:ascii="仿宋" w:hAnsi="仿宋" w:eastAsia="仿宋" w:cs="仿宋"/>
          <w:b/>
          <w:bCs/>
          <w:color w:val="FF0000"/>
          <w:szCs w:val="30"/>
          <w:lang w:val="en-US" w:eastAsia="zh-CN"/>
        </w:rPr>
        <w:t>16</w:t>
      </w:r>
      <w:r>
        <w:rPr>
          <w:rFonts w:hint="eastAsia" w:ascii="仿宋" w:hAnsi="仿宋" w:eastAsia="仿宋" w:cs="仿宋"/>
          <w:b/>
          <w:bCs/>
          <w:color w:val="FF0000"/>
          <w:szCs w:val="30"/>
        </w:rPr>
        <w:t>%（其中：小碎米含量≤1.</w:t>
      </w:r>
      <w:r>
        <w:rPr>
          <w:rFonts w:hint="eastAsia" w:ascii="仿宋" w:hAnsi="仿宋" w:eastAsia="仿宋" w:cs="仿宋"/>
          <w:b/>
          <w:bCs/>
          <w:color w:val="FF0000"/>
          <w:szCs w:val="30"/>
          <w:lang w:val="en-US" w:eastAsia="zh-CN"/>
        </w:rPr>
        <w:t>2</w:t>
      </w:r>
      <w:r>
        <w:rPr>
          <w:rFonts w:hint="eastAsia" w:ascii="仿宋" w:hAnsi="仿宋" w:eastAsia="仿宋" w:cs="仿宋"/>
          <w:b/>
          <w:bCs/>
          <w:color w:val="FF0000"/>
          <w:szCs w:val="30"/>
        </w:rPr>
        <w:t>%）；不完善粒≤4.0%；杂质≤0.25%；水分≤</w:t>
      </w:r>
      <w:r>
        <w:rPr>
          <w:rFonts w:hint="eastAsia" w:ascii="仿宋" w:hAnsi="仿宋" w:eastAsia="仿宋" w:cs="仿宋"/>
          <w:b/>
          <w:bCs/>
          <w:color w:val="FF0000"/>
          <w:szCs w:val="30"/>
          <w:lang w:val="en-US" w:eastAsia="zh-CN"/>
        </w:rPr>
        <w:t>13.5</w:t>
      </w:r>
      <w:r>
        <w:rPr>
          <w:rFonts w:hint="eastAsia" w:ascii="仿宋" w:hAnsi="仿宋" w:eastAsia="仿宋" w:cs="仿宋"/>
          <w:b/>
          <w:bCs/>
          <w:color w:val="FF0000"/>
          <w:szCs w:val="30"/>
        </w:rPr>
        <w:t>%；互混率≤5%；</w:t>
      </w:r>
      <w:r>
        <w:rPr>
          <w:rFonts w:ascii="仿宋" w:hAnsi="仿宋" w:eastAsia="仿宋" w:cs="仿宋"/>
          <w:b/>
          <w:bCs/>
          <w:color w:val="FF0000"/>
          <w:szCs w:val="30"/>
        </w:rPr>
        <w:t>黄粒米≤</w:t>
      </w:r>
      <w:r>
        <w:rPr>
          <w:rFonts w:hint="eastAsia" w:ascii="仿宋" w:hAnsi="仿宋" w:eastAsia="仿宋" w:cs="仿宋"/>
          <w:b/>
          <w:bCs/>
          <w:color w:val="FF0000"/>
          <w:szCs w:val="30"/>
          <w:lang w:val="en-US" w:eastAsia="zh-CN"/>
        </w:rPr>
        <w:t>0.1</w:t>
      </w:r>
      <w:r>
        <w:rPr>
          <w:rFonts w:hint="eastAsia" w:ascii="仿宋" w:hAnsi="仿宋" w:eastAsia="仿宋" w:cs="仿宋"/>
          <w:b/>
          <w:bCs/>
          <w:color w:val="FF0000"/>
          <w:szCs w:val="30"/>
        </w:rPr>
        <w:t>%；镉＜0.</w:t>
      </w:r>
      <w:r>
        <w:rPr>
          <w:rFonts w:hint="eastAsia" w:ascii="仿宋" w:hAnsi="仿宋" w:eastAsia="仿宋" w:cs="仿宋"/>
          <w:b/>
          <w:bCs/>
          <w:color w:val="FF0000"/>
          <w:szCs w:val="30"/>
          <w:lang w:val="en-US" w:eastAsia="zh-CN"/>
        </w:rPr>
        <w:t>16</w:t>
      </w:r>
      <w:r>
        <w:rPr>
          <w:rFonts w:hint="eastAsia" w:ascii="仿宋" w:hAnsi="仿宋" w:eastAsia="仿宋" w:cs="仿宋"/>
          <w:b/>
          <w:bCs/>
          <w:color w:val="FF0000"/>
          <w:szCs w:val="30"/>
        </w:rPr>
        <w:t>mg/kg；无机砷≤0.2mg/kg；铅≤0.2mg/kg；总汞≤0.02mg/kg；黄曲霉毒素B1≤10ug/kg；色泽、气味正常；符合国家大米GB/T1354-2018</w:t>
      </w:r>
      <w:r>
        <w:rPr>
          <w:rFonts w:hint="eastAsia" w:ascii="仿宋" w:hAnsi="仿宋" w:eastAsia="仿宋" w:cs="仿宋"/>
          <w:b/>
          <w:bCs/>
          <w:color w:val="FF0000"/>
          <w:szCs w:val="30"/>
          <w:lang w:eastAsia="zh-CN"/>
        </w:rPr>
        <w:t>二</w:t>
      </w:r>
      <w:r>
        <w:rPr>
          <w:rFonts w:hint="eastAsia" w:ascii="仿宋" w:hAnsi="仿宋" w:eastAsia="仿宋" w:cs="仿宋"/>
          <w:b/>
          <w:bCs/>
          <w:color w:val="FF0000"/>
          <w:szCs w:val="30"/>
        </w:rPr>
        <w:t>级及以上，食品安全标准符合</w:t>
      </w:r>
      <w:r>
        <w:rPr>
          <w:rFonts w:hint="eastAsia" w:ascii="仿宋" w:hAnsi="仿宋" w:eastAsia="仿宋" w:cs="仿宋"/>
          <w:b/>
          <w:bCs/>
          <w:color w:val="FF0000"/>
          <w:kern w:val="0"/>
          <w:szCs w:val="30"/>
          <w:shd w:val="clear" w:color="auto" w:fill="FFFFFF"/>
        </w:rPr>
        <w:t>GB2762-2017、GB2761-2017要求</w:t>
      </w:r>
      <w:r>
        <w:rPr>
          <w:rFonts w:hint="eastAsia" w:ascii="仿宋" w:hAnsi="仿宋" w:eastAsia="仿宋" w:cs="仿宋"/>
          <w:b/>
          <w:bCs/>
          <w:color w:val="FF0000"/>
          <w:szCs w:val="30"/>
        </w:rPr>
        <w:t>及国家有关规定执行,标的详见交易清单</w:t>
      </w:r>
      <w:r>
        <w:rPr>
          <w:rFonts w:hint="eastAsia" w:ascii="仿宋" w:hAnsi="仿宋" w:eastAsia="仿宋" w:cs="仿宋"/>
          <w:b/>
          <w:bCs/>
          <w:color w:val="auto"/>
          <w:szCs w:val="30"/>
        </w:rPr>
        <w:t>(</w:t>
      </w:r>
      <w:r>
        <w:rPr>
          <w:rFonts w:hint="eastAsia" w:ascii="仿宋" w:hAnsi="仿宋" w:eastAsia="仿宋" w:cs="仿宋"/>
          <w:b/>
          <w:bCs/>
          <w:color w:val="auto"/>
          <w:kern w:val="0"/>
          <w:szCs w:val="30"/>
          <w:shd w:val="clear" w:color="auto" w:fill="FFFFFF"/>
        </w:rPr>
        <w:t>供货方必须在本企业原粮加工，不得外购或委托其他企业代加工)。</w:t>
      </w:r>
      <w:bookmarkStart w:id="2" w:name="_GoBack"/>
      <w:bookmarkEnd w:id="2"/>
    </w:p>
    <w:p>
      <w:pPr>
        <w:pStyle w:val="2"/>
        <w:spacing w:before="204" w:after="204"/>
        <w:rPr>
          <w:rFonts w:ascii="仿宋" w:hAnsi="仿宋" w:eastAsia="仿宋" w:cs="仿宋"/>
          <w:szCs w:val="30"/>
        </w:rPr>
      </w:pPr>
      <w:r>
        <w:rPr>
          <w:rFonts w:hint="eastAsia" w:ascii="仿宋" w:hAnsi="仿宋" w:eastAsia="仿宋" w:cs="仿宋"/>
          <w:szCs w:val="30"/>
        </w:rPr>
        <w:t>第三章  交易地点、时间</w:t>
      </w:r>
    </w:p>
    <w:p>
      <w:pPr>
        <w:ind w:firstLine="600"/>
        <w:rPr>
          <w:rFonts w:ascii="仿宋" w:hAnsi="仿宋" w:eastAsia="仿宋" w:cs="仿宋"/>
          <w:szCs w:val="30"/>
        </w:rPr>
      </w:pPr>
      <w:r>
        <w:rPr>
          <w:rFonts w:hint="eastAsia" w:ascii="仿宋" w:hAnsi="仿宋" w:eastAsia="仿宋" w:cs="仿宋"/>
          <w:szCs w:val="30"/>
        </w:rPr>
        <w:t>第九条  交易地点设在湖南粮食中心批发市场交易大厅（</w:t>
      </w:r>
      <w:r>
        <w:rPr>
          <w:rFonts w:hint="eastAsia" w:ascii="仿宋" w:hAnsi="仿宋" w:eastAsia="仿宋" w:cs="仿宋"/>
          <w:kern w:val="0"/>
          <w:szCs w:val="30"/>
        </w:rPr>
        <w:t>湖南省长沙市芙蓉北路1119号一楼交易大厅</w:t>
      </w:r>
      <w:r>
        <w:rPr>
          <w:rFonts w:hint="eastAsia" w:ascii="仿宋" w:hAnsi="仿宋" w:eastAsia="仿宋" w:cs="仿宋"/>
          <w:szCs w:val="30"/>
        </w:rPr>
        <w:t>）。</w:t>
      </w:r>
    </w:p>
    <w:p>
      <w:pPr>
        <w:ind w:firstLine="600"/>
        <w:rPr>
          <w:rFonts w:ascii="仿宋" w:hAnsi="仿宋" w:eastAsia="仿宋" w:cs="仿宋"/>
          <w:szCs w:val="30"/>
        </w:rPr>
      </w:pPr>
      <w:r>
        <w:rPr>
          <w:rFonts w:hint="eastAsia" w:ascii="仿宋" w:hAnsi="仿宋" w:eastAsia="仿宋" w:cs="仿宋"/>
          <w:szCs w:val="30"/>
        </w:rPr>
        <w:t>第十条  交易时间以湖南市场的公告交易时间为准。</w:t>
      </w:r>
    </w:p>
    <w:p>
      <w:pPr>
        <w:ind w:firstLine="600"/>
        <w:rPr>
          <w:rFonts w:ascii="仿宋" w:hAnsi="仿宋" w:eastAsia="仿宋" w:cs="仿宋"/>
          <w:szCs w:val="30"/>
        </w:rPr>
      </w:pPr>
      <w:r>
        <w:rPr>
          <w:rFonts w:hint="eastAsia" w:ascii="仿宋" w:hAnsi="仿宋" w:eastAsia="仿宋" w:cs="仿宋"/>
          <w:szCs w:val="30"/>
        </w:rPr>
        <w:t>第十一条  湖南市场将根据交易的规模，允许交易客户派出1～2名交易代表入场交易，交易代表凭交易代表证提前入场，做好交易准备。因公共网络故障等不可抗力造成交易中断的，湖南市场有权推迟或暂停交易。买方因其终端设备等原因不能正常交易的，不影响整体网上竞价交易的正常进行。</w:t>
      </w:r>
    </w:p>
    <w:p>
      <w:pPr>
        <w:ind w:firstLine="600"/>
        <w:rPr>
          <w:rFonts w:ascii="仿宋" w:hAnsi="仿宋" w:eastAsia="仿宋" w:cs="仿宋"/>
          <w:szCs w:val="30"/>
        </w:rPr>
      </w:pPr>
      <w:r>
        <w:rPr>
          <w:rFonts w:hint="eastAsia" w:ascii="仿宋" w:hAnsi="仿宋" w:eastAsia="仿宋" w:cs="仿宋"/>
          <w:szCs w:val="30"/>
        </w:rPr>
        <w:t>第十二条  交易时间如有变更，湖南市场将提前公告。</w:t>
      </w:r>
    </w:p>
    <w:p>
      <w:pPr>
        <w:pStyle w:val="2"/>
        <w:spacing w:before="204" w:after="204"/>
        <w:rPr>
          <w:rFonts w:ascii="仿宋" w:hAnsi="仿宋" w:eastAsia="仿宋" w:cs="仿宋"/>
          <w:szCs w:val="30"/>
        </w:rPr>
      </w:pPr>
      <w:r>
        <w:rPr>
          <w:rFonts w:hint="eastAsia" w:ascii="仿宋" w:hAnsi="仿宋" w:eastAsia="仿宋" w:cs="仿宋"/>
          <w:szCs w:val="30"/>
        </w:rPr>
        <w:t>第四章  交易秩序</w:t>
      </w:r>
    </w:p>
    <w:p>
      <w:pPr>
        <w:ind w:firstLine="600"/>
        <w:rPr>
          <w:rFonts w:ascii="仿宋" w:hAnsi="仿宋" w:eastAsia="仿宋" w:cs="仿宋"/>
          <w:szCs w:val="30"/>
        </w:rPr>
      </w:pPr>
      <w:r>
        <w:rPr>
          <w:rFonts w:hint="eastAsia" w:ascii="仿宋" w:hAnsi="仿宋" w:eastAsia="仿宋" w:cs="仿宋"/>
          <w:szCs w:val="30"/>
        </w:rPr>
        <w:t xml:space="preserve">第十三条  </w:t>
      </w:r>
      <w:r>
        <w:rPr>
          <w:rFonts w:hint="eastAsia" w:ascii="仿宋" w:hAnsi="仿宋" w:eastAsia="仿宋" w:cs="仿宋"/>
          <w:szCs w:val="30"/>
          <w:lang w:val="zh-CN"/>
        </w:rPr>
        <w:t>交易大厅内禁止吸烟、打电话和大声喧哗。进场人员应爱护交易设备、设施，自觉维护场内秩序，服从工作人员指挥。</w:t>
      </w:r>
    </w:p>
    <w:p>
      <w:pPr>
        <w:ind w:firstLine="600"/>
        <w:rPr>
          <w:rFonts w:ascii="仿宋" w:hAnsi="仿宋" w:eastAsia="仿宋" w:cs="仿宋"/>
          <w:szCs w:val="30"/>
        </w:rPr>
      </w:pPr>
      <w:r>
        <w:rPr>
          <w:rFonts w:hint="eastAsia" w:ascii="仿宋" w:hAnsi="仿宋" w:eastAsia="仿宋" w:cs="仿宋"/>
          <w:szCs w:val="30"/>
        </w:rPr>
        <w:t xml:space="preserve">第十四条  </w:t>
      </w:r>
      <w:r>
        <w:rPr>
          <w:rFonts w:hint="eastAsia" w:ascii="仿宋" w:hAnsi="仿宋" w:eastAsia="仿宋" w:cs="仿宋"/>
          <w:szCs w:val="30"/>
          <w:lang w:val="zh-CN"/>
        </w:rPr>
        <w:t>交易活动必须按照湖南市场确定的交易方式、交易程序进行。</w:t>
      </w:r>
    </w:p>
    <w:p>
      <w:pPr>
        <w:ind w:firstLine="600"/>
        <w:rPr>
          <w:rFonts w:ascii="仿宋" w:hAnsi="仿宋" w:eastAsia="仿宋" w:cs="仿宋"/>
          <w:szCs w:val="30"/>
        </w:rPr>
      </w:pPr>
      <w:r>
        <w:rPr>
          <w:rFonts w:hint="eastAsia" w:ascii="仿宋" w:hAnsi="仿宋" w:eastAsia="仿宋" w:cs="仿宋"/>
          <w:szCs w:val="30"/>
        </w:rPr>
        <w:t>第十五条  禁止恶意串通交易价格等损害他人利益的一切行为。对严重扰乱交易秩序、恶意竞拍的人员，湖南市场有权取消其交易资格并责令其离场，严重者将交由公安机关处理。</w:t>
      </w:r>
    </w:p>
    <w:p>
      <w:pPr>
        <w:pStyle w:val="2"/>
        <w:spacing w:before="204" w:after="204"/>
        <w:rPr>
          <w:rFonts w:ascii="仿宋" w:hAnsi="仿宋" w:eastAsia="仿宋" w:cs="仿宋"/>
          <w:szCs w:val="30"/>
        </w:rPr>
      </w:pPr>
      <w:r>
        <w:rPr>
          <w:rFonts w:hint="eastAsia" w:ascii="仿宋" w:hAnsi="仿宋" w:eastAsia="仿宋" w:cs="仿宋"/>
          <w:szCs w:val="30"/>
        </w:rPr>
        <w:t>第五章  交易程序</w:t>
      </w:r>
    </w:p>
    <w:p>
      <w:pPr>
        <w:ind w:firstLine="600"/>
        <w:rPr>
          <w:rFonts w:ascii="仿宋" w:hAnsi="仿宋" w:eastAsia="仿宋" w:cs="仿宋"/>
          <w:b/>
          <w:szCs w:val="30"/>
        </w:rPr>
      </w:pPr>
      <w:r>
        <w:rPr>
          <w:rFonts w:hint="eastAsia" w:ascii="仿宋" w:hAnsi="仿宋" w:eastAsia="仿宋" w:cs="仿宋"/>
          <w:szCs w:val="30"/>
        </w:rPr>
        <w:t xml:space="preserve">第十六条 </w:t>
      </w:r>
      <w:r>
        <w:rPr>
          <w:rFonts w:hint="eastAsia" w:ascii="仿宋" w:hAnsi="仿宋" w:eastAsia="仿宋" w:cs="仿宋"/>
          <w:color w:val="FF0000"/>
          <w:szCs w:val="30"/>
        </w:rPr>
        <w:t xml:space="preserve"> </w:t>
      </w:r>
      <w:r>
        <w:rPr>
          <w:rFonts w:hint="eastAsia" w:ascii="仿宋" w:hAnsi="仿宋" w:eastAsia="仿宋" w:cs="仿宋"/>
          <w:bCs/>
          <w:szCs w:val="30"/>
        </w:rPr>
        <w:t>竞价采购</w:t>
      </w:r>
      <w:r>
        <w:rPr>
          <w:rFonts w:hint="eastAsia" w:ascii="仿宋" w:hAnsi="仿宋" w:eastAsia="仿宋" w:cs="仿宋"/>
          <w:szCs w:val="30"/>
        </w:rPr>
        <w:t>采取先交货后付款的方式，所报价格为卖方以包装方式送货至买方指定的承储库点</w:t>
      </w:r>
      <w:r>
        <w:rPr>
          <w:rFonts w:hint="eastAsia" w:ascii="仿宋" w:hAnsi="仿宋" w:eastAsia="仿宋" w:cs="仿宋"/>
          <w:color w:val="FF0000"/>
          <w:szCs w:val="30"/>
        </w:rPr>
        <w:t>仓口车板价</w:t>
      </w:r>
      <w:r>
        <w:rPr>
          <w:rFonts w:hint="eastAsia" w:ascii="仿宋" w:hAnsi="仿宋" w:eastAsia="仿宋" w:cs="仿宋"/>
          <w:szCs w:val="30"/>
        </w:rPr>
        <w:t>（详见交易清单），</w:t>
      </w:r>
      <w:r>
        <w:rPr>
          <w:rFonts w:hint="eastAsia" w:ascii="仿宋" w:hAnsi="仿宋" w:eastAsia="仿宋" w:cs="仿宋"/>
          <w:color w:val="000000"/>
          <w:kern w:val="0"/>
          <w:szCs w:val="30"/>
          <w:shd w:val="clear" w:color="auto" w:fill="FFFFFF"/>
        </w:rPr>
        <w:t>规格为净重50公斤/袋。包装物标准符合GB/T 17109-2008要求，包装袋上须标明生产日期、生产地址以及联系方式。规格55×105cm，包装物重每条100克±2克</w:t>
      </w:r>
      <w:r>
        <w:rPr>
          <w:rFonts w:hint="eastAsia" w:ascii="仿宋" w:hAnsi="仿宋" w:eastAsia="仿宋" w:cs="仿宋"/>
          <w:color w:val="000000" w:themeColor="text1"/>
          <w:szCs w:val="30"/>
          <w:shd w:val="clear" w:color="auto" w:fill="FFFFFF"/>
          <w14:textFill>
            <w14:solidFill>
              <w14:schemeClr w14:val="tx1"/>
            </w14:solidFill>
          </w14:textFill>
        </w:rPr>
        <w:t>，包装样品袋必须在送货前送至委托方公司检验合格后，方可使用，样品袋与实际包装物一致；</w:t>
      </w:r>
      <w:r>
        <w:rPr>
          <w:rFonts w:hint="eastAsia" w:ascii="仿宋" w:hAnsi="仿宋" w:eastAsia="仿宋" w:cs="仿宋"/>
          <w:color w:val="000000"/>
          <w:kern w:val="0"/>
          <w:szCs w:val="30"/>
          <w:shd w:val="clear" w:color="auto" w:fill="FFFFFF"/>
        </w:rPr>
        <w:t>包装物不计价、不返还</w:t>
      </w:r>
      <w:r>
        <w:rPr>
          <w:rFonts w:hint="eastAsia" w:ascii="仿宋" w:hAnsi="仿宋" w:eastAsia="仿宋" w:cs="仿宋"/>
          <w:szCs w:val="30"/>
        </w:rPr>
        <w:t>。报价单位是：元/吨。</w:t>
      </w:r>
    </w:p>
    <w:p>
      <w:pPr>
        <w:ind w:firstLine="600"/>
        <w:rPr>
          <w:rFonts w:ascii="仿宋" w:hAnsi="仿宋" w:eastAsia="仿宋" w:cs="仿宋"/>
          <w:szCs w:val="30"/>
        </w:rPr>
      </w:pPr>
      <w:r>
        <w:rPr>
          <w:rFonts w:hint="eastAsia" w:ascii="仿宋" w:hAnsi="仿宋" w:eastAsia="仿宋" w:cs="仿宋"/>
          <w:szCs w:val="30"/>
        </w:rPr>
        <w:t xml:space="preserve">第十七条  </w:t>
      </w:r>
      <w:r>
        <w:rPr>
          <w:rFonts w:hint="eastAsia" w:ascii="仿宋" w:hAnsi="仿宋" w:eastAsia="仿宋" w:cs="仿宋"/>
          <w:bCs/>
          <w:szCs w:val="30"/>
        </w:rPr>
        <w:t>竞价采购</w:t>
      </w:r>
      <w:r>
        <w:rPr>
          <w:rFonts w:hint="eastAsia" w:ascii="仿宋" w:hAnsi="仿宋" w:eastAsia="仿宋" w:cs="仿宋"/>
          <w:szCs w:val="30"/>
        </w:rPr>
        <w:t>交易原则：采用价格优先、时间优先的交易原则。竞价同一标的，价低者优先；同一标的、同等价格，应价在前者优先。</w:t>
      </w:r>
    </w:p>
    <w:p>
      <w:pPr>
        <w:ind w:firstLine="600"/>
        <w:rPr>
          <w:rFonts w:ascii="仿宋" w:hAnsi="仿宋" w:eastAsia="仿宋" w:cs="仿宋"/>
          <w:szCs w:val="30"/>
        </w:rPr>
      </w:pPr>
      <w:r>
        <w:rPr>
          <w:rFonts w:hint="eastAsia" w:ascii="仿宋" w:hAnsi="仿宋" w:eastAsia="仿宋" w:cs="仿宋"/>
          <w:szCs w:val="30"/>
        </w:rPr>
        <w:t>第十八条  本次交易活动，采用现场及网上电子竞价交易方式。竞价交易按委托标的序号顺序，依次按交易节进行。</w:t>
      </w:r>
    </w:p>
    <w:p>
      <w:pPr>
        <w:ind w:firstLine="600"/>
        <w:rPr>
          <w:rFonts w:ascii="仿宋" w:hAnsi="仿宋" w:eastAsia="仿宋" w:cs="仿宋"/>
          <w:kern w:val="0"/>
          <w:szCs w:val="30"/>
        </w:rPr>
      </w:pPr>
      <w:r>
        <w:rPr>
          <w:rFonts w:hint="eastAsia" w:ascii="仿宋" w:hAnsi="仿宋" w:eastAsia="仿宋" w:cs="仿宋"/>
          <w:szCs w:val="30"/>
        </w:rPr>
        <w:t xml:space="preserve">第十九条  </w:t>
      </w:r>
      <w:r>
        <w:rPr>
          <w:rFonts w:hint="eastAsia" w:ascii="仿宋" w:hAnsi="仿宋" w:eastAsia="仿宋" w:cs="仿宋"/>
          <w:kern w:val="0"/>
          <w:szCs w:val="30"/>
        </w:rPr>
        <w:t>开市后，竞卖方利用计算机按交易节逐节进行交易。每笔交易从标底价开始报价，并按每吨10元的价位递减报价。</w:t>
      </w:r>
    </w:p>
    <w:p>
      <w:pPr>
        <w:ind w:firstLine="600"/>
        <w:rPr>
          <w:rFonts w:ascii="仿宋" w:hAnsi="仿宋" w:eastAsia="仿宋" w:cs="仿宋"/>
          <w:szCs w:val="30"/>
        </w:rPr>
      </w:pPr>
      <w:r>
        <w:rPr>
          <w:rFonts w:hint="eastAsia" w:ascii="仿宋" w:hAnsi="仿宋" w:eastAsia="仿宋" w:cs="仿宋"/>
          <w:szCs w:val="30"/>
        </w:rPr>
        <w:t>第二十条  竞价交易每个标的不拆分，卖方如接受计算机竞价系统报出的价格，应点击计算机应价。卖方一经应价确认，不得撤回。</w:t>
      </w:r>
    </w:p>
    <w:p>
      <w:pPr>
        <w:ind w:firstLine="600"/>
        <w:rPr>
          <w:rFonts w:ascii="仿宋" w:hAnsi="仿宋" w:eastAsia="仿宋" w:cs="仿宋"/>
          <w:szCs w:val="30"/>
        </w:rPr>
      </w:pPr>
      <w:r>
        <w:rPr>
          <w:rFonts w:hint="eastAsia" w:ascii="仿宋" w:hAnsi="仿宋" w:eastAsia="仿宋" w:cs="仿宋"/>
          <w:szCs w:val="30"/>
        </w:rPr>
        <w:t>第二十一条  卖方在新的价位应价后，前一价位的应价自动失效。</w:t>
      </w:r>
    </w:p>
    <w:p>
      <w:pPr>
        <w:ind w:firstLine="600"/>
        <w:rPr>
          <w:rFonts w:ascii="仿宋" w:hAnsi="仿宋" w:eastAsia="仿宋" w:cs="仿宋"/>
          <w:szCs w:val="30"/>
        </w:rPr>
      </w:pPr>
      <w:r>
        <w:rPr>
          <w:rFonts w:hint="eastAsia" w:ascii="仿宋" w:hAnsi="仿宋" w:eastAsia="仿宋" w:cs="仿宋"/>
          <w:szCs w:val="30"/>
        </w:rPr>
        <w:t>第二十二条  在标的价位上无卖方应价时，即撤消该笔交易。</w:t>
      </w:r>
    </w:p>
    <w:p>
      <w:pPr>
        <w:ind w:firstLine="600"/>
        <w:rPr>
          <w:rFonts w:ascii="仿宋" w:hAnsi="仿宋" w:eastAsia="仿宋" w:cs="仿宋"/>
          <w:szCs w:val="30"/>
        </w:rPr>
      </w:pPr>
      <w:r>
        <w:rPr>
          <w:rFonts w:hint="eastAsia" w:ascii="仿宋" w:hAnsi="仿宋" w:eastAsia="仿宋" w:cs="仿宋"/>
          <w:szCs w:val="30"/>
        </w:rPr>
        <w:t>第二十三条  当一个委托标的在某一价位只有一个卖方应价，并且在计算机竞价交易系统规定的时间内再无新的卖方应价时，即按该价位成交。</w:t>
      </w:r>
    </w:p>
    <w:p>
      <w:pPr>
        <w:ind w:firstLine="600"/>
        <w:rPr>
          <w:rFonts w:ascii="仿宋" w:hAnsi="仿宋" w:eastAsia="仿宋" w:cs="仿宋"/>
          <w:szCs w:val="30"/>
        </w:rPr>
      </w:pPr>
      <w:r>
        <w:rPr>
          <w:rFonts w:hint="eastAsia" w:ascii="仿宋" w:hAnsi="仿宋" w:eastAsia="仿宋" w:cs="仿宋"/>
          <w:szCs w:val="30"/>
        </w:rPr>
        <w:t>第二十四条  双方的买卖合同关系自系统确定成交之时起生效。交易结束后，买卖双方须及时签订湖南市场制订的买卖合同。</w:t>
      </w:r>
    </w:p>
    <w:p>
      <w:pPr>
        <w:ind w:firstLine="600"/>
        <w:rPr>
          <w:rFonts w:ascii="仿宋" w:hAnsi="仿宋" w:eastAsia="仿宋" w:cs="仿宋"/>
          <w:szCs w:val="30"/>
        </w:rPr>
      </w:pPr>
      <w:r>
        <w:rPr>
          <w:rFonts w:hint="eastAsia" w:ascii="仿宋" w:hAnsi="仿宋" w:eastAsia="仿宋" w:cs="仿宋"/>
          <w:szCs w:val="30"/>
        </w:rPr>
        <w:t>如果买卖一方因为特殊情况无法按时签订合同的,视同认可合同条款,不影响合同的履行，并严格按照合同条款执行。</w:t>
      </w:r>
    </w:p>
    <w:p>
      <w:pPr>
        <w:pStyle w:val="2"/>
        <w:spacing w:before="204" w:after="204"/>
        <w:rPr>
          <w:rFonts w:ascii="仿宋" w:hAnsi="仿宋" w:eastAsia="仿宋" w:cs="仿宋"/>
          <w:szCs w:val="30"/>
        </w:rPr>
      </w:pPr>
      <w:r>
        <w:rPr>
          <w:rFonts w:hint="eastAsia" w:ascii="仿宋" w:hAnsi="仿宋" w:eastAsia="仿宋" w:cs="仿宋"/>
          <w:szCs w:val="30"/>
        </w:rPr>
        <w:t>第六章  交割和结算</w:t>
      </w:r>
    </w:p>
    <w:p>
      <w:pPr>
        <w:ind w:firstLine="600"/>
        <w:rPr>
          <w:rFonts w:ascii="仿宋" w:hAnsi="仿宋" w:eastAsia="仿宋" w:cs="仿宋"/>
          <w:szCs w:val="30"/>
        </w:rPr>
      </w:pPr>
      <w:r>
        <w:rPr>
          <w:rFonts w:hint="eastAsia" w:ascii="仿宋" w:hAnsi="仿宋" w:eastAsia="仿宋" w:cs="仿宋"/>
          <w:szCs w:val="30"/>
        </w:rPr>
        <w:t xml:space="preserve">第二十五条  </w:t>
      </w:r>
      <w:r>
        <w:rPr>
          <w:rFonts w:hint="eastAsia" w:ascii="仿宋" w:hAnsi="仿宋" w:eastAsia="仿宋" w:cs="仿宋"/>
          <w:szCs w:val="30"/>
          <w:lang w:val="zh-CN"/>
        </w:rPr>
        <w:t>买卖双方应严格履行合同规定的责任义务，并享有合同规</w:t>
      </w:r>
      <w:r>
        <w:rPr>
          <w:rFonts w:hint="eastAsia" w:ascii="仿宋" w:hAnsi="仿宋" w:eastAsia="仿宋" w:cs="仿宋"/>
          <w:color w:val="000000"/>
          <w:szCs w:val="30"/>
          <w:lang w:val="zh-CN"/>
        </w:rPr>
        <w:t>定的权利。</w:t>
      </w:r>
    </w:p>
    <w:p>
      <w:pPr>
        <w:ind w:firstLine="600"/>
        <w:rPr>
          <w:rFonts w:ascii="仿宋" w:hAnsi="仿宋" w:eastAsia="仿宋" w:cs="仿宋"/>
          <w:szCs w:val="30"/>
        </w:rPr>
      </w:pPr>
      <w:r>
        <w:rPr>
          <w:rFonts w:hint="eastAsia" w:ascii="仿宋" w:hAnsi="仿宋" w:eastAsia="仿宋" w:cs="仿宋"/>
          <w:szCs w:val="30"/>
        </w:rPr>
        <w:t xml:space="preserve">第二十六条  </w:t>
      </w:r>
      <w:bookmarkStart w:id="0" w:name="OLE_LINK2"/>
      <w:bookmarkEnd w:id="0"/>
      <w:bookmarkStart w:id="1" w:name="OLE_LINK1"/>
      <w:bookmarkEnd w:id="1"/>
      <w:r>
        <w:rPr>
          <w:rFonts w:hint="eastAsia" w:ascii="仿宋" w:hAnsi="仿宋" w:eastAsia="仿宋" w:cs="仿宋"/>
          <w:szCs w:val="30"/>
        </w:rPr>
        <w:t>合同的履约时间为合同成交之日起，全部交货期为</w:t>
      </w:r>
      <w:r>
        <w:rPr>
          <w:rFonts w:hint="eastAsia" w:ascii="仿宋" w:hAnsi="仿宋" w:eastAsia="仿宋" w:cs="仿宋"/>
          <w:color w:val="FF0000"/>
          <w:szCs w:val="30"/>
          <w:lang w:val="en-US" w:eastAsia="zh-CN"/>
        </w:rPr>
        <w:t>45</w:t>
      </w:r>
      <w:r>
        <w:rPr>
          <w:rFonts w:hint="eastAsia" w:ascii="仿宋" w:hAnsi="仿宋" w:eastAsia="仿宋" w:cs="仿宋"/>
          <w:color w:val="FF0000"/>
          <w:szCs w:val="30"/>
        </w:rPr>
        <w:t>天</w:t>
      </w:r>
      <w:r>
        <w:rPr>
          <w:rFonts w:hint="eastAsia" w:ascii="仿宋" w:hAnsi="仿宋" w:eastAsia="仿宋" w:cs="仿宋"/>
          <w:szCs w:val="30"/>
        </w:rPr>
        <w:t>（自然日历天）。逾期供货或未按期完成供货量，买方有权中止履行合同，竞卖方承担相应违约责任。</w:t>
      </w:r>
    </w:p>
    <w:p>
      <w:pPr>
        <w:pStyle w:val="8"/>
        <w:widowControl/>
        <w:shd w:val="clear" w:color="auto" w:fill="FFFFFF"/>
        <w:spacing w:before="0" w:beforeAutospacing="0" w:after="0" w:afterAutospacing="0" w:line="540" w:lineRule="exact"/>
        <w:ind w:firstLine="600"/>
        <w:rPr>
          <w:rFonts w:ascii="仿宋" w:hAnsi="仿宋" w:eastAsia="仿宋" w:cs="仿宋"/>
          <w:color w:val="000000"/>
          <w:sz w:val="30"/>
          <w:szCs w:val="30"/>
          <w:shd w:val="clear" w:color="auto" w:fill="FFFFFF"/>
        </w:rPr>
      </w:pPr>
      <w:r>
        <w:rPr>
          <w:rFonts w:hint="eastAsia" w:ascii="仿宋" w:hAnsi="仿宋" w:eastAsia="仿宋" w:cs="仿宋"/>
          <w:sz w:val="30"/>
          <w:szCs w:val="30"/>
        </w:rPr>
        <w:t xml:space="preserve">第二十七条 </w:t>
      </w:r>
      <w:r>
        <w:rPr>
          <w:rFonts w:hint="eastAsia" w:ascii="仿宋" w:hAnsi="仿宋" w:eastAsia="仿宋" w:cs="仿宋"/>
          <w:color w:val="000000"/>
          <w:sz w:val="30"/>
          <w:szCs w:val="30"/>
          <w:shd w:val="clear" w:color="auto" w:fill="FFFFFF"/>
        </w:rPr>
        <w:t>交货地点：</w:t>
      </w:r>
      <w:r>
        <w:rPr>
          <w:rFonts w:hint="eastAsia" w:ascii="仿宋" w:hAnsi="仿宋" w:eastAsia="仿宋" w:cs="仿宋"/>
          <w:b/>
          <w:bCs/>
          <w:color w:val="FF0000"/>
          <w:sz w:val="30"/>
          <w:szCs w:val="30"/>
          <w:shd w:val="clear" w:color="auto" w:fill="FFFFFF"/>
          <w:lang w:eastAsia="zh-CN"/>
        </w:rPr>
        <w:t>湘阴县军粮供应有限公司六塘收储点</w:t>
      </w:r>
      <w:r>
        <w:rPr>
          <w:rFonts w:hint="eastAsia" w:ascii="仿宋" w:hAnsi="仿宋" w:eastAsia="仿宋" w:cs="仿宋"/>
          <w:b/>
          <w:bCs/>
          <w:color w:val="FF0000"/>
          <w:sz w:val="30"/>
          <w:szCs w:val="30"/>
          <w:shd w:val="clear" w:color="auto" w:fill="FFFFFF"/>
          <w:lang w:val="en-US" w:eastAsia="zh-CN"/>
        </w:rPr>
        <w:t>55401仓（湘阴县六塘乡金珠口村赵垅片）</w:t>
      </w:r>
      <w:r>
        <w:rPr>
          <w:rFonts w:hint="eastAsia" w:ascii="仿宋" w:hAnsi="仿宋" w:eastAsia="仿宋" w:cs="仿宋"/>
          <w:b/>
          <w:bCs/>
          <w:color w:val="FF0000"/>
          <w:sz w:val="30"/>
          <w:szCs w:val="30"/>
          <w:shd w:val="clear" w:color="auto" w:fill="FFFFFF"/>
        </w:rPr>
        <w:t>。</w:t>
      </w:r>
    </w:p>
    <w:p>
      <w:pPr>
        <w:pStyle w:val="8"/>
        <w:widowControl/>
        <w:shd w:val="clear" w:color="auto" w:fill="FFFFFF"/>
        <w:spacing w:before="0" w:beforeAutospacing="0" w:after="0" w:afterAutospacing="0" w:line="540" w:lineRule="exact"/>
        <w:ind w:firstLine="600"/>
        <w:rPr>
          <w:rFonts w:ascii="仿宋" w:hAnsi="仿宋" w:eastAsia="仿宋" w:cs="仿宋"/>
          <w:color w:val="000000"/>
          <w:sz w:val="30"/>
          <w:szCs w:val="30"/>
          <w:shd w:val="clear" w:color="auto" w:fill="FFFFFF"/>
        </w:rPr>
      </w:pPr>
      <w:r>
        <w:rPr>
          <w:rFonts w:hint="eastAsia" w:ascii="仿宋" w:hAnsi="仿宋" w:eastAsia="仿宋" w:cs="仿宋"/>
          <w:sz w:val="30"/>
          <w:szCs w:val="30"/>
        </w:rPr>
        <w:t xml:space="preserve">第二十八条 </w:t>
      </w:r>
      <w:r>
        <w:rPr>
          <w:rFonts w:hint="eastAsia" w:ascii="仿宋" w:hAnsi="仿宋" w:eastAsia="仿宋" w:cs="仿宋"/>
          <w:color w:val="000000"/>
          <w:sz w:val="30"/>
          <w:szCs w:val="30"/>
          <w:shd w:val="clear" w:color="auto" w:fill="FFFFFF"/>
        </w:rPr>
        <w:t>接收办法：1.采取汽车衡检斤、抽包检斤、点包等方式，包装物扣重100克/条；2.货物到达时，由买方进行质量检测，卖方须以委托书方式派人与买方检验员共同扦取样品并全程参与检测过程，在检测报告书上签字确认该批粮食检测结果。若卖方不派人，则须提供书面说明，认可买方扦样及检测结果。若卖方既不派人参加扦样及检测过程，又不提供书面说明，视为卖方认可买方扦样及检测结果。3.</w:t>
      </w:r>
      <w:r>
        <w:rPr>
          <w:rFonts w:hint="eastAsia"/>
        </w:rPr>
        <w:t xml:space="preserve"> </w:t>
      </w:r>
      <w:r>
        <w:rPr>
          <w:rFonts w:hint="eastAsia" w:ascii="仿宋" w:hAnsi="仿宋" w:eastAsia="仿宋" w:cs="仿宋"/>
          <w:color w:val="000000"/>
          <w:sz w:val="30"/>
          <w:szCs w:val="30"/>
          <w:shd w:val="clear" w:color="auto" w:fill="FFFFFF"/>
        </w:rPr>
        <w:t>供货方必须在本企业原粮加工，不得外购或委托其他企业代加工。在接收入库过程中发现不符合规定标准的粮食</w:t>
      </w:r>
      <w:r>
        <w:rPr>
          <w:rFonts w:hint="eastAsia" w:ascii="仿宋" w:hAnsi="仿宋" w:eastAsia="仿宋" w:cs="仿宋"/>
          <w:sz w:val="30"/>
          <w:szCs w:val="30"/>
          <w:shd w:val="clear" w:color="auto" w:fill="FFFFFF"/>
        </w:rPr>
        <w:t>和不符合规定标准的包装袋</w:t>
      </w:r>
      <w:r>
        <w:rPr>
          <w:rFonts w:hint="eastAsia" w:ascii="仿宋" w:hAnsi="仿宋" w:eastAsia="仿宋" w:cs="仿宋"/>
          <w:color w:val="000000"/>
          <w:sz w:val="30"/>
          <w:szCs w:val="30"/>
          <w:shd w:val="clear" w:color="auto" w:fill="FFFFFF"/>
        </w:rPr>
        <w:t>作退货处理。</w:t>
      </w:r>
    </w:p>
    <w:p>
      <w:pPr>
        <w:widowControl/>
        <w:spacing w:line="580" w:lineRule="exact"/>
        <w:ind w:firstLine="600"/>
        <w:rPr>
          <w:rFonts w:ascii="仿宋" w:hAnsi="仿宋" w:eastAsia="仿宋" w:cs="仿宋"/>
          <w:color w:val="000000"/>
          <w:szCs w:val="30"/>
          <w:shd w:val="clear" w:color="auto" w:fill="FFFFFF"/>
        </w:rPr>
      </w:pPr>
      <w:r>
        <w:rPr>
          <w:rFonts w:hint="eastAsia" w:ascii="仿宋" w:hAnsi="仿宋" w:eastAsia="仿宋" w:cs="仿宋"/>
          <w:color w:val="000000"/>
          <w:kern w:val="0"/>
          <w:szCs w:val="30"/>
          <w:shd w:val="clear" w:color="auto" w:fill="FFFFFF"/>
        </w:rPr>
        <w:t>第二十九条　货款结算方式:采取线下结算，增级不增价</w:t>
      </w:r>
      <w:r>
        <w:rPr>
          <w:rFonts w:hint="eastAsia" w:ascii="仿宋" w:hAnsi="仿宋" w:eastAsia="仿宋" w:cs="仿宋"/>
          <w:color w:val="000000"/>
          <w:kern w:val="0"/>
          <w:szCs w:val="30"/>
          <w:shd w:val="clear" w:color="auto" w:fill="FFFFFF"/>
          <w:lang w:eastAsia="zh-CN"/>
        </w:rPr>
        <w:t>。</w:t>
      </w:r>
      <w:r>
        <w:rPr>
          <w:rFonts w:hint="eastAsia" w:ascii="仿宋" w:hAnsi="仿宋" w:eastAsia="仿宋" w:cs="仿宋"/>
          <w:color w:val="000000"/>
          <w:kern w:val="0"/>
          <w:szCs w:val="30"/>
          <w:shd w:val="clear" w:color="auto" w:fill="FFFFFF"/>
        </w:rPr>
        <w:t>粮食入库</w:t>
      </w:r>
      <w:r>
        <w:rPr>
          <w:rFonts w:hint="eastAsia" w:ascii="仿宋" w:hAnsi="仿宋" w:eastAsia="仿宋" w:cs="仿宋"/>
          <w:color w:val="000000"/>
          <w:kern w:val="0"/>
          <w:szCs w:val="30"/>
          <w:shd w:val="clear" w:color="auto" w:fill="FFFFFF"/>
          <w:lang w:eastAsia="zh-CN"/>
        </w:rPr>
        <w:t>完毕</w:t>
      </w:r>
      <w:r>
        <w:rPr>
          <w:rFonts w:hint="eastAsia" w:ascii="仿宋" w:hAnsi="仿宋" w:eastAsia="仿宋" w:cs="仿宋"/>
          <w:color w:val="FF0000"/>
          <w:kern w:val="0"/>
          <w:szCs w:val="30"/>
          <w:shd w:val="clear" w:color="auto" w:fill="FFFFFF"/>
          <w:lang w:eastAsia="zh-CN"/>
        </w:rPr>
        <w:t>且通过主管部门验收</w:t>
      </w:r>
      <w:r>
        <w:rPr>
          <w:rFonts w:hint="eastAsia" w:ascii="仿宋" w:hAnsi="仿宋" w:eastAsia="仿宋" w:cs="仿宋"/>
          <w:color w:val="FF0000"/>
          <w:kern w:val="0"/>
          <w:szCs w:val="30"/>
          <w:shd w:val="clear" w:color="auto" w:fill="FFFFFF"/>
        </w:rPr>
        <w:t>后</w:t>
      </w:r>
      <w:r>
        <w:rPr>
          <w:rFonts w:hint="eastAsia" w:ascii="仿宋" w:hAnsi="仿宋" w:eastAsia="仿宋" w:cs="仿宋"/>
          <w:color w:val="000000"/>
          <w:kern w:val="0"/>
          <w:szCs w:val="30"/>
          <w:shd w:val="clear" w:color="auto" w:fill="FFFFFF"/>
        </w:rPr>
        <w:t>，卖方凭正式税务发票、入库方的相关验收入库凭证，到</w:t>
      </w:r>
      <w:r>
        <w:rPr>
          <w:rFonts w:hint="eastAsia" w:ascii="仿宋" w:hAnsi="仿宋" w:eastAsia="仿宋" w:cs="仿宋"/>
          <w:color w:val="000000"/>
          <w:sz w:val="30"/>
          <w:szCs w:val="30"/>
          <w:shd w:val="clear" w:color="auto" w:fill="FFFFFF"/>
          <w:lang w:eastAsia="zh-CN"/>
        </w:rPr>
        <w:t>湘阴县军粮供应有限公司</w:t>
      </w:r>
      <w:r>
        <w:rPr>
          <w:rFonts w:hint="eastAsia" w:ascii="仿宋" w:hAnsi="仿宋" w:eastAsia="仿宋" w:cs="仿宋"/>
          <w:color w:val="000000"/>
          <w:kern w:val="0"/>
          <w:szCs w:val="30"/>
          <w:shd w:val="clear" w:color="auto" w:fill="FFFFFF"/>
        </w:rPr>
        <w:t>（委托方）财务部结算</w:t>
      </w:r>
      <w:r>
        <w:rPr>
          <w:rFonts w:hint="eastAsia" w:ascii="仿宋" w:hAnsi="仿宋" w:eastAsia="仿宋" w:cs="仿宋"/>
          <w:color w:val="000000"/>
          <w:kern w:val="0"/>
          <w:szCs w:val="30"/>
          <w:shd w:val="clear" w:color="auto" w:fill="FFFFFF"/>
          <w:lang w:eastAsia="zh-CN"/>
        </w:rPr>
        <w:t>货款</w:t>
      </w:r>
      <w:r>
        <w:rPr>
          <w:rFonts w:hint="eastAsia" w:ascii="仿宋" w:hAnsi="仿宋" w:eastAsia="仿宋" w:cs="仿宋"/>
          <w:color w:val="000000"/>
          <w:szCs w:val="30"/>
        </w:rPr>
        <w:t>。</w:t>
      </w:r>
    </w:p>
    <w:p>
      <w:pPr>
        <w:widowControl/>
        <w:spacing w:line="580" w:lineRule="exact"/>
        <w:ind w:firstLine="600"/>
        <w:rPr>
          <w:rFonts w:ascii="仿宋" w:hAnsi="仿宋" w:eastAsia="仿宋" w:cs="仿宋"/>
          <w:color w:val="000000"/>
          <w:szCs w:val="30"/>
          <w:shd w:val="clear" w:color="auto" w:fill="FFFFFF"/>
        </w:rPr>
      </w:pPr>
      <w:r>
        <w:rPr>
          <w:rFonts w:hint="eastAsia" w:ascii="仿宋" w:hAnsi="仿宋" w:eastAsia="仿宋" w:cs="仿宋"/>
          <w:szCs w:val="30"/>
        </w:rPr>
        <w:t>第三十条</w:t>
      </w:r>
      <w:r>
        <w:rPr>
          <w:rFonts w:hint="eastAsia" w:ascii="仿宋" w:hAnsi="仿宋" w:eastAsia="仿宋" w:cs="仿宋"/>
          <w:b/>
          <w:bCs/>
          <w:color w:val="000000"/>
          <w:szCs w:val="30"/>
          <w:shd w:val="clear" w:color="auto" w:fill="FFFFFF"/>
        </w:rPr>
        <w:t>　</w:t>
      </w:r>
      <w:r>
        <w:rPr>
          <w:rFonts w:hint="eastAsia" w:ascii="仿宋" w:hAnsi="仿宋" w:eastAsia="仿宋" w:cs="仿宋"/>
          <w:color w:val="000000"/>
          <w:szCs w:val="30"/>
          <w:shd w:val="clear" w:color="auto" w:fill="FFFFFF"/>
        </w:rPr>
        <w:t>合同生效后，卖方应及时组织发货。发货时，须提前书面或电话通知买方做好接货准备，卖方将货物发运到买方指定的交货地点后，交货时必须向买方提供本批粮油第三方质量检验报告，且</w:t>
      </w:r>
      <w:r>
        <w:rPr>
          <w:rFonts w:hint="eastAsia" w:ascii="仿宋" w:hAnsi="仿宋" w:eastAsia="仿宋" w:cs="仿宋"/>
          <w:color w:val="000000"/>
          <w:kern w:val="0"/>
          <w:szCs w:val="30"/>
          <w:shd w:val="clear" w:color="auto" w:fill="FFFFFF"/>
        </w:rPr>
        <w:t>大米生产日期必须为中标签订合同后</w:t>
      </w:r>
      <w:r>
        <w:rPr>
          <w:rFonts w:hint="eastAsia" w:ascii="仿宋" w:hAnsi="仿宋" w:eastAsia="仿宋" w:cs="仿宋"/>
          <w:color w:val="FF0000"/>
          <w:kern w:val="0"/>
          <w:szCs w:val="30"/>
          <w:shd w:val="clear" w:color="auto" w:fill="FFFFFF"/>
          <w:lang w:val="en-US" w:eastAsia="zh-CN"/>
        </w:rPr>
        <w:t>30</w:t>
      </w:r>
      <w:r>
        <w:rPr>
          <w:rFonts w:hint="eastAsia" w:ascii="仿宋" w:hAnsi="仿宋" w:eastAsia="仿宋" w:cs="仿宋"/>
          <w:color w:val="000000"/>
          <w:kern w:val="0"/>
          <w:szCs w:val="30"/>
          <w:shd w:val="clear" w:color="auto" w:fill="FFFFFF"/>
        </w:rPr>
        <w:t>天之内。因不可抗力原因导致无法正常交货的，由买卖双方协商达成一致意见，并向湖南市场提出延长交货期申请，湖南市场核实后可延长交货期。</w:t>
      </w:r>
    </w:p>
    <w:p>
      <w:pPr>
        <w:ind w:firstLine="600"/>
        <w:rPr>
          <w:rFonts w:ascii="仿宋" w:hAnsi="仿宋" w:eastAsia="仿宋" w:cs="仿宋"/>
          <w:szCs w:val="30"/>
          <w:lang w:val="zh-CN"/>
        </w:rPr>
      </w:pPr>
      <w:r>
        <w:rPr>
          <w:rFonts w:hint="eastAsia" w:ascii="仿宋" w:hAnsi="仿宋" w:eastAsia="仿宋" w:cs="仿宋"/>
          <w:color w:val="000000"/>
          <w:kern w:val="0"/>
          <w:szCs w:val="30"/>
          <w:shd w:val="clear" w:color="auto" w:fill="FFFFFF"/>
        </w:rPr>
        <w:t>第三十一条  湖南市场向买卖双方各收取成交额的</w:t>
      </w:r>
      <w:r>
        <w:rPr>
          <w:rFonts w:hint="eastAsia" w:ascii="仿宋" w:hAnsi="仿宋" w:eastAsia="仿宋" w:cs="仿宋"/>
          <w:color w:val="C00000"/>
          <w:kern w:val="0"/>
          <w:szCs w:val="30"/>
          <w:shd w:val="clear" w:color="auto" w:fill="FFFFFF"/>
        </w:rPr>
        <w:t>0.8‰</w:t>
      </w:r>
      <w:r>
        <w:rPr>
          <w:rFonts w:hint="eastAsia" w:ascii="仿宋" w:hAnsi="仿宋" w:eastAsia="仿宋" w:cs="仿宋"/>
          <w:color w:val="000000"/>
          <w:kern w:val="0"/>
          <w:szCs w:val="30"/>
          <w:shd w:val="clear" w:color="auto" w:fill="FFFFFF"/>
        </w:rPr>
        <w:t>为交易</w:t>
      </w:r>
      <w:r>
        <w:rPr>
          <w:rFonts w:hint="eastAsia" w:ascii="仿宋" w:hAnsi="仿宋" w:eastAsia="仿宋" w:cs="仿宋"/>
          <w:szCs w:val="30"/>
          <w:lang w:val="zh-CN"/>
        </w:rPr>
        <w:t>手续费，从交易保证金中扣除。</w:t>
      </w:r>
    </w:p>
    <w:p>
      <w:pPr>
        <w:ind w:firstLine="608"/>
        <w:rPr>
          <w:rFonts w:ascii="仿宋" w:hAnsi="仿宋" w:eastAsia="仿宋" w:cs="仿宋"/>
          <w:spacing w:val="2"/>
          <w:szCs w:val="30"/>
        </w:rPr>
      </w:pPr>
      <w:r>
        <w:rPr>
          <w:rFonts w:hint="eastAsia" w:ascii="仿宋" w:hAnsi="仿宋" w:eastAsia="仿宋" w:cs="仿宋"/>
          <w:spacing w:val="2"/>
          <w:szCs w:val="30"/>
        </w:rPr>
        <w:t xml:space="preserve">第三十二条  </w:t>
      </w:r>
      <w:r>
        <w:rPr>
          <w:rFonts w:hint="eastAsia" w:ascii="仿宋" w:hAnsi="仿宋" w:eastAsia="仿宋" w:cs="仿宋"/>
          <w:bCs/>
          <w:spacing w:val="2"/>
          <w:szCs w:val="30"/>
        </w:rPr>
        <w:t>竞价采购</w:t>
      </w:r>
      <w:r>
        <w:rPr>
          <w:rFonts w:hint="eastAsia" w:ascii="仿宋" w:hAnsi="仿宋" w:eastAsia="仿宋" w:cs="仿宋"/>
          <w:spacing w:val="2"/>
          <w:szCs w:val="30"/>
        </w:rPr>
        <w:t>合同完全履行后，竞卖方凭双方单位开具的《竞价采购验收确认单》申请退回履约保证金。湖南市场在收到确认单后的3个工作日内办理退回保证金有关手续。</w:t>
      </w:r>
    </w:p>
    <w:p>
      <w:pPr>
        <w:pStyle w:val="2"/>
        <w:spacing w:before="204" w:after="204"/>
        <w:rPr>
          <w:rFonts w:ascii="仿宋" w:hAnsi="仿宋" w:eastAsia="仿宋" w:cs="仿宋"/>
          <w:szCs w:val="30"/>
        </w:rPr>
      </w:pPr>
      <w:r>
        <w:rPr>
          <w:rFonts w:hint="eastAsia" w:ascii="仿宋" w:hAnsi="仿宋" w:eastAsia="仿宋" w:cs="仿宋"/>
          <w:szCs w:val="30"/>
        </w:rPr>
        <w:t>第七章  违约处罚</w:t>
      </w:r>
    </w:p>
    <w:p>
      <w:pPr>
        <w:ind w:firstLine="600"/>
        <w:rPr>
          <w:rFonts w:ascii="仿宋" w:hAnsi="仿宋" w:eastAsia="仿宋" w:cs="仿宋"/>
          <w:szCs w:val="30"/>
        </w:rPr>
      </w:pPr>
      <w:r>
        <w:rPr>
          <w:rFonts w:hint="eastAsia" w:ascii="仿宋" w:hAnsi="仿宋" w:eastAsia="仿宋" w:cs="仿宋"/>
          <w:szCs w:val="30"/>
        </w:rPr>
        <w:t>第三十三条</w:t>
      </w:r>
      <w:r>
        <w:rPr>
          <w:rFonts w:hint="eastAsia" w:ascii="仿宋" w:hAnsi="仿宋" w:eastAsia="仿宋" w:cs="仿宋"/>
          <w:szCs w:val="30"/>
        </w:rPr>
        <w:tab/>
      </w:r>
      <w:r>
        <w:rPr>
          <w:rFonts w:hint="eastAsia" w:ascii="仿宋" w:hAnsi="仿宋" w:eastAsia="仿宋" w:cs="仿宋"/>
          <w:szCs w:val="30"/>
        </w:rPr>
        <w:t xml:space="preserve">  成交方在合同签订后，未按照合同的条款履行合同义务的，由湖南市场扣除相应履约保证金支付给守约方。</w:t>
      </w:r>
    </w:p>
    <w:p>
      <w:pPr>
        <w:ind w:firstLine="600"/>
        <w:rPr>
          <w:rFonts w:ascii="仿宋" w:hAnsi="仿宋" w:eastAsia="仿宋" w:cs="仿宋"/>
          <w:color w:val="FF0000"/>
          <w:szCs w:val="30"/>
        </w:rPr>
      </w:pPr>
      <w:r>
        <w:rPr>
          <w:rFonts w:hint="eastAsia" w:ascii="仿宋" w:hAnsi="仿宋" w:eastAsia="仿宋" w:cs="仿宋"/>
          <w:szCs w:val="30"/>
        </w:rPr>
        <w:t>因不可抗力原因不能履行合同的，不适用前款的规定。</w:t>
      </w:r>
    </w:p>
    <w:p>
      <w:pPr>
        <w:ind w:firstLine="600"/>
        <w:rPr>
          <w:rFonts w:ascii="仿宋" w:hAnsi="仿宋" w:eastAsia="仿宋" w:cs="仿宋"/>
          <w:szCs w:val="30"/>
        </w:rPr>
      </w:pPr>
      <w:r>
        <w:rPr>
          <w:rFonts w:hint="eastAsia" w:ascii="仿宋" w:hAnsi="仿宋" w:eastAsia="仿宋" w:cs="仿宋"/>
          <w:szCs w:val="30"/>
        </w:rPr>
        <w:t>第三十四条  竞卖方不按照合同规定的粮食品种、等级、数量、质量、交货时间、交货地点等要求交货，均视为违约，委托方有权拒绝结算，由湖南市场扣除相应违约数量的履约保证金支付给守约方。</w:t>
      </w:r>
    </w:p>
    <w:p>
      <w:pPr>
        <w:ind w:firstLine="600"/>
        <w:rPr>
          <w:rFonts w:ascii="仿宋" w:hAnsi="仿宋" w:eastAsia="仿宋" w:cs="仿宋"/>
          <w:szCs w:val="30"/>
        </w:rPr>
      </w:pPr>
      <w:r>
        <w:rPr>
          <w:rFonts w:hint="eastAsia" w:ascii="仿宋" w:hAnsi="仿宋" w:eastAsia="仿宋" w:cs="仿宋"/>
          <w:szCs w:val="30"/>
        </w:rPr>
        <w:t>第三十五条</w:t>
      </w:r>
      <w:r>
        <w:rPr>
          <w:rFonts w:hint="eastAsia" w:ascii="仿宋" w:hAnsi="仿宋" w:eastAsia="仿宋" w:cs="仿宋"/>
          <w:b/>
          <w:szCs w:val="30"/>
        </w:rPr>
        <w:t xml:space="preserve"> </w:t>
      </w:r>
      <w:r>
        <w:rPr>
          <w:rFonts w:hint="eastAsia" w:ascii="仿宋" w:hAnsi="仿宋" w:eastAsia="仿宋" w:cs="仿宋"/>
          <w:szCs w:val="30"/>
        </w:rPr>
        <w:t xml:space="preserve"> 在合同履行过程中对质量检测结果有异议，可双</w:t>
      </w:r>
      <w:r>
        <w:rPr>
          <w:rFonts w:hint="eastAsia" w:ascii="仿宋" w:hAnsi="仿宋" w:eastAsia="仿宋" w:cs="仿宋"/>
          <w:color w:val="000000"/>
          <w:kern w:val="0"/>
          <w:szCs w:val="30"/>
          <w:shd w:val="clear" w:color="auto" w:fill="FFFFFF"/>
        </w:rPr>
        <w:t>方见证采样，样品送</w:t>
      </w:r>
      <w:r>
        <w:rPr>
          <w:rFonts w:hint="eastAsia" w:ascii="仿宋" w:hAnsi="仿宋" w:eastAsia="仿宋" w:cs="仿宋"/>
          <w:color w:val="000000"/>
          <w:kern w:val="0"/>
          <w:szCs w:val="30"/>
          <w:shd w:val="clear" w:color="auto" w:fill="FFFFFF"/>
          <w:lang w:eastAsia="zh-CN"/>
        </w:rPr>
        <w:t>湘阴县商务粮食局</w:t>
      </w:r>
      <w:r>
        <w:rPr>
          <w:rFonts w:hint="eastAsia" w:ascii="仿宋" w:hAnsi="仿宋" w:eastAsia="仿宋" w:cs="仿宋"/>
          <w:color w:val="000000"/>
          <w:kern w:val="0"/>
          <w:szCs w:val="30"/>
          <w:shd w:val="clear" w:color="auto" w:fill="FFFFFF"/>
        </w:rPr>
        <w:t>指定的第三方单位检测，以第三</w:t>
      </w:r>
      <w:r>
        <w:rPr>
          <w:rFonts w:hint="eastAsia" w:ascii="仿宋" w:hAnsi="仿宋" w:eastAsia="仿宋" w:cs="仿宋"/>
          <w:szCs w:val="30"/>
        </w:rPr>
        <w:t>方单位检测结果为准，复检的费用由责任方承担。发生质量异议时，双方又无法协商一致，双方可协商向仲裁机构申请裁定，也可单方直接向人民法院起诉。</w:t>
      </w:r>
    </w:p>
    <w:p>
      <w:pPr>
        <w:pStyle w:val="2"/>
        <w:spacing w:before="204" w:after="204"/>
        <w:rPr>
          <w:rFonts w:ascii="仿宋" w:hAnsi="仿宋" w:eastAsia="仿宋" w:cs="仿宋"/>
          <w:szCs w:val="30"/>
        </w:rPr>
      </w:pPr>
      <w:r>
        <w:rPr>
          <w:rFonts w:hint="eastAsia" w:ascii="仿宋" w:hAnsi="仿宋" w:eastAsia="仿宋" w:cs="仿宋"/>
          <w:szCs w:val="30"/>
        </w:rPr>
        <w:t>第八章  附 则</w:t>
      </w:r>
    </w:p>
    <w:p>
      <w:pPr>
        <w:ind w:firstLine="600"/>
        <w:rPr>
          <w:rFonts w:ascii="仿宋" w:hAnsi="仿宋" w:eastAsia="仿宋" w:cs="仿宋"/>
          <w:szCs w:val="30"/>
          <w:lang w:val="zh-CN"/>
        </w:rPr>
      </w:pPr>
      <w:r>
        <w:rPr>
          <w:rFonts w:hint="eastAsia" w:ascii="仿宋" w:hAnsi="仿宋" w:eastAsia="仿宋" w:cs="仿宋"/>
          <w:szCs w:val="30"/>
        </w:rPr>
        <w:t xml:space="preserve">第三十六条  </w:t>
      </w:r>
      <w:r>
        <w:rPr>
          <w:rFonts w:hint="eastAsia" w:ascii="仿宋" w:hAnsi="仿宋" w:eastAsia="仿宋" w:cs="仿宋"/>
          <w:szCs w:val="30"/>
          <w:lang w:val="zh-CN"/>
        </w:rPr>
        <w:t>湖南市场负责监督合同的执行，协调处理商务等问题。如遇未尽事宜，由湖南市场与有关部门协商处理。</w:t>
      </w:r>
    </w:p>
    <w:p>
      <w:pPr>
        <w:ind w:firstLine="600"/>
        <w:rPr>
          <w:rFonts w:ascii="仿宋" w:hAnsi="仿宋" w:eastAsia="仿宋" w:cs="仿宋"/>
          <w:szCs w:val="30"/>
        </w:rPr>
      </w:pPr>
      <w:r>
        <w:rPr>
          <w:rFonts w:hint="eastAsia" w:ascii="仿宋" w:hAnsi="仿宋" w:eastAsia="仿宋" w:cs="仿宋"/>
          <w:szCs w:val="30"/>
        </w:rPr>
        <w:t>第三十七条  本交易细则自发布之日起执行。</w:t>
      </w:r>
    </w:p>
    <w:p>
      <w:pPr>
        <w:ind w:firstLine="600"/>
        <w:rPr>
          <w:rFonts w:ascii="仿宋" w:hAnsi="仿宋" w:eastAsia="仿宋" w:cs="仿宋"/>
          <w:szCs w:val="30"/>
          <w:lang w:val="zh-CN"/>
        </w:rPr>
      </w:pPr>
      <w:r>
        <w:rPr>
          <w:rFonts w:hint="eastAsia" w:ascii="仿宋" w:hAnsi="仿宋" w:eastAsia="仿宋" w:cs="仿宋"/>
          <w:szCs w:val="30"/>
        </w:rPr>
        <w:t xml:space="preserve">第三十八条  </w:t>
      </w:r>
      <w:r>
        <w:rPr>
          <w:rFonts w:hint="eastAsia" w:ascii="仿宋" w:hAnsi="仿宋" w:eastAsia="仿宋" w:cs="仿宋"/>
          <w:szCs w:val="30"/>
          <w:lang w:val="zh-CN"/>
        </w:rPr>
        <w:t>本交易细则由湖南市场负责解释。</w:t>
      </w:r>
    </w:p>
    <w:p>
      <w:pPr>
        <w:ind w:firstLine="600"/>
        <w:rPr>
          <w:rFonts w:ascii="仿宋" w:hAnsi="仿宋" w:eastAsia="仿宋" w:cs="仿宋"/>
          <w:szCs w:val="30"/>
          <w:lang w:val="zh-CN"/>
        </w:rPr>
      </w:pPr>
    </w:p>
    <w:p>
      <w:pPr>
        <w:ind w:firstLine="600"/>
        <w:rPr>
          <w:rFonts w:ascii="仿宋" w:hAnsi="仿宋" w:eastAsia="仿宋" w:cs="仿宋"/>
          <w:szCs w:val="30"/>
          <w:lang w:val="zh-CN"/>
        </w:rPr>
      </w:pPr>
    </w:p>
    <w:p>
      <w:pPr>
        <w:ind w:firstLine="600"/>
        <w:rPr>
          <w:rFonts w:ascii="仿宋" w:hAnsi="仿宋" w:eastAsia="仿宋" w:cs="仿宋"/>
          <w:szCs w:val="30"/>
          <w:lang w:val="zh-CN"/>
        </w:rPr>
      </w:pPr>
    </w:p>
    <w:p>
      <w:pPr>
        <w:wordWrap w:val="0"/>
        <w:ind w:right="1200" w:rightChars="400" w:firstLine="0" w:firstLineChars="0"/>
        <w:jc w:val="right"/>
        <w:rPr>
          <w:rFonts w:ascii="仿宋" w:hAnsi="仿宋" w:eastAsia="仿宋" w:cs="仿宋"/>
          <w:color w:val="FF0000"/>
          <w:szCs w:val="30"/>
        </w:rPr>
      </w:pPr>
    </w:p>
    <w:sectPr>
      <w:headerReference r:id="rId7" w:type="first"/>
      <w:footerReference r:id="rId10" w:type="first"/>
      <w:headerReference r:id="rId5" w:type="default"/>
      <w:footerReference r:id="rId8" w:type="default"/>
      <w:headerReference r:id="rId6" w:type="even"/>
      <w:footerReference r:id="rId9" w:type="even"/>
      <w:pgSz w:w="11906" w:h="16838"/>
      <w:pgMar w:top="1446" w:right="1588" w:bottom="1446" w:left="1588" w:header="851" w:footer="851" w:gutter="0"/>
      <w:pgNumType w:fmt="numberInDash"/>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00" w:rightChars="100" w:firstLine="0" w:firstLineChars="0"/>
      <w:jc w:val="right"/>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w:t>
    </w:r>
    <w:r>
      <w:rPr>
        <w:rFonts w:ascii="宋体" w:hAnsi="宋体" w:eastAsia="宋体"/>
        <w:sz w:val="21"/>
        <w:szCs w:val="21"/>
      </w:rPr>
      <w:t xml:space="preserve"> 1 -</w:t>
    </w:r>
    <w:r>
      <w:rPr>
        <w:rFonts w:ascii="宋体" w:hAnsi="宋体" w:eastAsia="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firstLine="0" w:firstLineChars="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w:t>
    </w:r>
    <w:r>
      <w:rPr>
        <w:rFonts w:ascii="宋体" w:hAnsi="宋体" w:eastAsia="宋体"/>
        <w:sz w:val="21"/>
        <w:szCs w:val="21"/>
      </w:rPr>
      <w:t xml:space="preserve"> 2 -</w:t>
    </w:r>
    <w:r>
      <w:rPr>
        <w:rFonts w:ascii="宋体" w:hAnsi="宋体" w:eastAsia="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evenAndOddHeaders w:val="1"/>
  <w:drawingGridHorizontalSpacing w:val="150"/>
  <w:drawingGridVerticalSpacing w:val="20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OTk1NTc3ODI0ZTdiNmJkNzgyZDM4OGJiZGRjMWQifQ=="/>
  </w:docVars>
  <w:rsids>
    <w:rsidRoot w:val="00F07820"/>
    <w:rsid w:val="00006542"/>
    <w:rsid w:val="00011C40"/>
    <w:rsid w:val="00014906"/>
    <w:rsid w:val="000218B3"/>
    <w:rsid w:val="0002365A"/>
    <w:rsid w:val="00026888"/>
    <w:rsid w:val="00031256"/>
    <w:rsid w:val="00036ADC"/>
    <w:rsid w:val="000457EB"/>
    <w:rsid w:val="00046D8E"/>
    <w:rsid w:val="00053E2B"/>
    <w:rsid w:val="0005556D"/>
    <w:rsid w:val="00060492"/>
    <w:rsid w:val="000628D3"/>
    <w:rsid w:val="00066755"/>
    <w:rsid w:val="00074B62"/>
    <w:rsid w:val="000750B6"/>
    <w:rsid w:val="00076686"/>
    <w:rsid w:val="00076F09"/>
    <w:rsid w:val="00080398"/>
    <w:rsid w:val="0008793E"/>
    <w:rsid w:val="0009198D"/>
    <w:rsid w:val="00093520"/>
    <w:rsid w:val="00096050"/>
    <w:rsid w:val="000A0919"/>
    <w:rsid w:val="000A4AEA"/>
    <w:rsid w:val="000A4C96"/>
    <w:rsid w:val="000A60D7"/>
    <w:rsid w:val="000B05DE"/>
    <w:rsid w:val="000B3805"/>
    <w:rsid w:val="000B4993"/>
    <w:rsid w:val="000B4E4D"/>
    <w:rsid w:val="000C51DB"/>
    <w:rsid w:val="000C6CAD"/>
    <w:rsid w:val="000C79BA"/>
    <w:rsid w:val="000D72CF"/>
    <w:rsid w:val="000E2878"/>
    <w:rsid w:val="000E33DF"/>
    <w:rsid w:val="000F0E11"/>
    <w:rsid w:val="000F5836"/>
    <w:rsid w:val="000F5C56"/>
    <w:rsid w:val="00106FBE"/>
    <w:rsid w:val="00112CFC"/>
    <w:rsid w:val="001132B5"/>
    <w:rsid w:val="00120ED2"/>
    <w:rsid w:val="00126358"/>
    <w:rsid w:val="001363C7"/>
    <w:rsid w:val="00140B78"/>
    <w:rsid w:val="00140D84"/>
    <w:rsid w:val="00143D0B"/>
    <w:rsid w:val="0014470A"/>
    <w:rsid w:val="00146A5C"/>
    <w:rsid w:val="00151528"/>
    <w:rsid w:val="00151EB7"/>
    <w:rsid w:val="00162F3B"/>
    <w:rsid w:val="0016415C"/>
    <w:rsid w:val="001709D7"/>
    <w:rsid w:val="001750D8"/>
    <w:rsid w:val="00180605"/>
    <w:rsid w:val="001941CA"/>
    <w:rsid w:val="00194401"/>
    <w:rsid w:val="00194B2B"/>
    <w:rsid w:val="001A5E27"/>
    <w:rsid w:val="001A7972"/>
    <w:rsid w:val="001B2703"/>
    <w:rsid w:val="001B3B85"/>
    <w:rsid w:val="001B6C96"/>
    <w:rsid w:val="001B7A5C"/>
    <w:rsid w:val="001D224F"/>
    <w:rsid w:val="001D3F7E"/>
    <w:rsid w:val="001D5DF9"/>
    <w:rsid w:val="001E59C5"/>
    <w:rsid w:val="001F4F8D"/>
    <w:rsid w:val="001F5982"/>
    <w:rsid w:val="00200FC2"/>
    <w:rsid w:val="00205FB8"/>
    <w:rsid w:val="00210EF1"/>
    <w:rsid w:val="002111F9"/>
    <w:rsid w:val="00214F1F"/>
    <w:rsid w:val="00215801"/>
    <w:rsid w:val="0021585B"/>
    <w:rsid w:val="0021678B"/>
    <w:rsid w:val="00216DA0"/>
    <w:rsid w:val="002171B2"/>
    <w:rsid w:val="00223EDB"/>
    <w:rsid w:val="00230103"/>
    <w:rsid w:val="00243B8B"/>
    <w:rsid w:val="002470A1"/>
    <w:rsid w:val="0024734C"/>
    <w:rsid w:val="00251301"/>
    <w:rsid w:val="00254458"/>
    <w:rsid w:val="0025475D"/>
    <w:rsid w:val="002576E6"/>
    <w:rsid w:val="0026030B"/>
    <w:rsid w:val="00263C3B"/>
    <w:rsid w:val="00264227"/>
    <w:rsid w:val="00265F68"/>
    <w:rsid w:val="002707DB"/>
    <w:rsid w:val="00272752"/>
    <w:rsid w:val="00280BC5"/>
    <w:rsid w:val="00283D46"/>
    <w:rsid w:val="00284A16"/>
    <w:rsid w:val="00287115"/>
    <w:rsid w:val="002A1C98"/>
    <w:rsid w:val="002B1AFE"/>
    <w:rsid w:val="002B2DB8"/>
    <w:rsid w:val="002B2F4F"/>
    <w:rsid w:val="002B4C51"/>
    <w:rsid w:val="002B4D5D"/>
    <w:rsid w:val="002C2158"/>
    <w:rsid w:val="002C3554"/>
    <w:rsid w:val="002C42F3"/>
    <w:rsid w:val="002C60FC"/>
    <w:rsid w:val="002D0359"/>
    <w:rsid w:val="002D0FEF"/>
    <w:rsid w:val="002D48F1"/>
    <w:rsid w:val="002E3A3A"/>
    <w:rsid w:val="002F1DBD"/>
    <w:rsid w:val="002F2116"/>
    <w:rsid w:val="002F558C"/>
    <w:rsid w:val="003008EA"/>
    <w:rsid w:val="00302A92"/>
    <w:rsid w:val="00305FA2"/>
    <w:rsid w:val="00313E13"/>
    <w:rsid w:val="0032504D"/>
    <w:rsid w:val="00337C81"/>
    <w:rsid w:val="003468DB"/>
    <w:rsid w:val="00355829"/>
    <w:rsid w:val="003655D9"/>
    <w:rsid w:val="0037006C"/>
    <w:rsid w:val="00391465"/>
    <w:rsid w:val="00396089"/>
    <w:rsid w:val="003A19B0"/>
    <w:rsid w:val="003A7362"/>
    <w:rsid w:val="003B025B"/>
    <w:rsid w:val="003C0A16"/>
    <w:rsid w:val="003C1781"/>
    <w:rsid w:val="003C1F45"/>
    <w:rsid w:val="003C2D60"/>
    <w:rsid w:val="003D73C6"/>
    <w:rsid w:val="003E022C"/>
    <w:rsid w:val="003E2BD5"/>
    <w:rsid w:val="003E3DF5"/>
    <w:rsid w:val="003E6338"/>
    <w:rsid w:val="003E7AFE"/>
    <w:rsid w:val="003F473B"/>
    <w:rsid w:val="003F7370"/>
    <w:rsid w:val="0041081D"/>
    <w:rsid w:val="004114DE"/>
    <w:rsid w:val="004149F9"/>
    <w:rsid w:val="00414EDD"/>
    <w:rsid w:val="00415D05"/>
    <w:rsid w:val="00416286"/>
    <w:rsid w:val="00417186"/>
    <w:rsid w:val="00423E66"/>
    <w:rsid w:val="00426CD2"/>
    <w:rsid w:val="00446925"/>
    <w:rsid w:val="00454217"/>
    <w:rsid w:val="0045434C"/>
    <w:rsid w:val="0045560F"/>
    <w:rsid w:val="0045672B"/>
    <w:rsid w:val="00457E97"/>
    <w:rsid w:val="004606D4"/>
    <w:rsid w:val="0046459F"/>
    <w:rsid w:val="0046608E"/>
    <w:rsid w:val="0047367D"/>
    <w:rsid w:val="0047709F"/>
    <w:rsid w:val="00480798"/>
    <w:rsid w:val="0048168F"/>
    <w:rsid w:val="00483B35"/>
    <w:rsid w:val="00487646"/>
    <w:rsid w:val="0049344F"/>
    <w:rsid w:val="004A1979"/>
    <w:rsid w:val="004A3AB5"/>
    <w:rsid w:val="004A6436"/>
    <w:rsid w:val="004B05B4"/>
    <w:rsid w:val="004B2591"/>
    <w:rsid w:val="004C07F0"/>
    <w:rsid w:val="004C1810"/>
    <w:rsid w:val="004C4855"/>
    <w:rsid w:val="004C7646"/>
    <w:rsid w:val="004D7EBA"/>
    <w:rsid w:val="004E00E6"/>
    <w:rsid w:val="004E12EA"/>
    <w:rsid w:val="004E3C9D"/>
    <w:rsid w:val="004E3F09"/>
    <w:rsid w:val="004E47B0"/>
    <w:rsid w:val="004F7001"/>
    <w:rsid w:val="00503283"/>
    <w:rsid w:val="00504FDC"/>
    <w:rsid w:val="005072AB"/>
    <w:rsid w:val="00512584"/>
    <w:rsid w:val="00523DF2"/>
    <w:rsid w:val="0052638D"/>
    <w:rsid w:val="00532996"/>
    <w:rsid w:val="0054382B"/>
    <w:rsid w:val="00547E43"/>
    <w:rsid w:val="00565997"/>
    <w:rsid w:val="005662CB"/>
    <w:rsid w:val="00571601"/>
    <w:rsid w:val="00574A30"/>
    <w:rsid w:val="005A18B5"/>
    <w:rsid w:val="005A6CB2"/>
    <w:rsid w:val="005A74F1"/>
    <w:rsid w:val="005A78B5"/>
    <w:rsid w:val="005B37B3"/>
    <w:rsid w:val="005B4ED8"/>
    <w:rsid w:val="005B691D"/>
    <w:rsid w:val="005B7F56"/>
    <w:rsid w:val="005C0EF9"/>
    <w:rsid w:val="005C1A3F"/>
    <w:rsid w:val="005C54B5"/>
    <w:rsid w:val="005C5880"/>
    <w:rsid w:val="005C5CC2"/>
    <w:rsid w:val="005C645F"/>
    <w:rsid w:val="005C6DC7"/>
    <w:rsid w:val="005D0DCD"/>
    <w:rsid w:val="005E25F2"/>
    <w:rsid w:val="005E3EF7"/>
    <w:rsid w:val="005F02CE"/>
    <w:rsid w:val="005F5153"/>
    <w:rsid w:val="00607935"/>
    <w:rsid w:val="006159E5"/>
    <w:rsid w:val="0063604A"/>
    <w:rsid w:val="00641D5F"/>
    <w:rsid w:val="00642801"/>
    <w:rsid w:val="00645D89"/>
    <w:rsid w:val="00646506"/>
    <w:rsid w:val="0064666F"/>
    <w:rsid w:val="00646B40"/>
    <w:rsid w:val="00647501"/>
    <w:rsid w:val="00651713"/>
    <w:rsid w:val="006552D2"/>
    <w:rsid w:val="00664231"/>
    <w:rsid w:val="00664281"/>
    <w:rsid w:val="00666A59"/>
    <w:rsid w:val="00671B43"/>
    <w:rsid w:val="00690CBC"/>
    <w:rsid w:val="006915B6"/>
    <w:rsid w:val="00693193"/>
    <w:rsid w:val="00695C50"/>
    <w:rsid w:val="0069694D"/>
    <w:rsid w:val="006969A5"/>
    <w:rsid w:val="00697D54"/>
    <w:rsid w:val="006A281E"/>
    <w:rsid w:val="006A6EE9"/>
    <w:rsid w:val="006A7303"/>
    <w:rsid w:val="006B00DF"/>
    <w:rsid w:val="006B1D2B"/>
    <w:rsid w:val="006B6C50"/>
    <w:rsid w:val="006C212F"/>
    <w:rsid w:val="006D14CE"/>
    <w:rsid w:val="006D507F"/>
    <w:rsid w:val="006E3E69"/>
    <w:rsid w:val="006E597B"/>
    <w:rsid w:val="006E6165"/>
    <w:rsid w:val="006E730D"/>
    <w:rsid w:val="006E733E"/>
    <w:rsid w:val="006F4C34"/>
    <w:rsid w:val="006F658B"/>
    <w:rsid w:val="006F73A1"/>
    <w:rsid w:val="00701065"/>
    <w:rsid w:val="00706B20"/>
    <w:rsid w:val="00707AB9"/>
    <w:rsid w:val="0071238B"/>
    <w:rsid w:val="0073120C"/>
    <w:rsid w:val="00733848"/>
    <w:rsid w:val="00743000"/>
    <w:rsid w:val="00747C6E"/>
    <w:rsid w:val="00747D04"/>
    <w:rsid w:val="00756014"/>
    <w:rsid w:val="00762A9A"/>
    <w:rsid w:val="00767F41"/>
    <w:rsid w:val="007807AF"/>
    <w:rsid w:val="00781CB6"/>
    <w:rsid w:val="007834CF"/>
    <w:rsid w:val="00786336"/>
    <w:rsid w:val="0079103D"/>
    <w:rsid w:val="007933E0"/>
    <w:rsid w:val="00793422"/>
    <w:rsid w:val="007B1533"/>
    <w:rsid w:val="007B6398"/>
    <w:rsid w:val="007C0D07"/>
    <w:rsid w:val="007C17F3"/>
    <w:rsid w:val="007C4D8D"/>
    <w:rsid w:val="007D0CB5"/>
    <w:rsid w:val="007D45BA"/>
    <w:rsid w:val="007D4CE0"/>
    <w:rsid w:val="007D7A0D"/>
    <w:rsid w:val="007E2C72"/>
    <w:rsid w:val="007E6B83"/>
    <w:rsid w:val="007E71CC"/>
    <w:rsid w:val="007E768A"/>
    <w:rsid w:val="007F141D"/>
    <w:rsid w:val="007F2319"/>
    <w:rsid w:val="007F32FA"/>
    <w:rsid w:val="007F44C2"/>
    <w:rsid w:val="007F61E7"/>
    <w:rsid w:val="00803116"/>
    <w:rsid w:val="00803A6F"/>
    <w:rsid w:val="00804F50"/>
    <w:rsid w:val="00805382"/>
    <w:rsid w:val="00807A9F"/>
    <w:rsid w:val="00811BB9"/>
    <w:rsid w:val="00811D8E"/>
    <w:rsid w:val="00814DEF"/>
    <w:rsid w:val="00816CD5"/>
    <w:rsid w:val="00822BD9"/>
    <w:rsid w:val="00846C18"/>
    <w:rsid w:val="00853870"/>
    <w:rsid w:val="00853BE1"/>
    <w:rsid w:val="00855786"/>
    <w:rsid w:val="00861C01"/>
    <w:rsid w:val="00862A61"/>
    <w:rsid w:val="008671AB"/>
    <w:rsid w:val="00876DCA"/>
    <w:rsid w:val="00880214"/>
    <w:rsid w:val="00881552"/>
    <w:rsid w:val="0089391B"/>
    <w:rsid w:val="00896DE0"/>
    <w:rsid w:val="008A28AA"/>
    <w:rsid w:val="008A3D84"/>
    <w:rsid w:val="008A739B"/>
    <w:rsid w:val="008B41DD"/>
    <w:rsid w:val="008C2C13"/>
    <w:rsid w:val="008C5761"/>
    <w:rsid w:val="008D1499"/>
    <w:rsid w:val="008D5695"/>
    <w:rsid w:val="008D6521"/>
    <w:rsid w:val="008E0327"/>
    <w:rsid w:val="008E1179"/>
    <w:rsid w:val="008E2647"/>
    <w:rsid w:val="008E63FA"/>
    <w:rsid w:val="008F1DFF"/>
    <w:rsid w:val="008F282A"/>
    <w:rsid w:val="008F4817"/>
    <w:rsid w:val="008F655C"/>
    <w:rsid w:val="008F658B"/>
    <w:rsid w:val="0090354B"/>
    <w:rsid w:val="00906B26"/>
    <w:rsid w:val="0091189B"/>
    <w:rsid w:val="00917DCD"/>
    <w:rsid w:val="00921BC7"/>
    <w:rsid w:val="009271E2"/>
    <w:rsid w:val="00932F1D"/>
    <w:rsid w:val="00933113"/>
    <w:rsid w:val="00941FD0"/>
    <w:rsid w:val="00946519"/>
    <w:rsid w:val="00953AA9"/>
    <w:rsid w:val="00954EAF"/>
    <w:rsid w:val="00962A96"/>
    <w:rsid w:val="00962D96"/>
    <w:rsid w:val="00964BE4"/>
    <w:rsid w:val="0097252A"/>
    <w:rsid w:val="0097524B"/>
    <w:rsid w:val="00994C44"/>
    <w:rsid w:val="0099541E"/>
    <w:rsid w:val="00995A27"/>
    <w:rsid w:val="009A14A7"/>
    <w:rsid w:val="009A31AC"/>
    <w:rsid w:val="009A5E24"/>
    <w:rsid w:val="009A5F89"/>
    <w:rsid w:val="009C2289"/>
    <w:rsid w:val="009C249A"/>
    <w:rsid w:val="009C318C"/>
    <w:rsid w:val="009D05A0"/>
    <w:rsid w:val="009D43A3"/>
    <w:rsid w:val="009D72BB"/>
    <w:rsid w:val="009E69A7"/>
    <w:rsid w:val="009F1F4F"/>
    <w:rsid w:val="009F45B3"/>
    <w:rsid w:val="009F52F6"/>
    <w:rsid w:val="009F5B60"/>
    <w:rsid w:val="00A11269"/>
    <w:rsid w:val="00A16869"/>
    <w:rsid w:val="00A173EC"/>
    <w:rsid w:val="00A21B44"/>
    <w:rsid w:val="00A30E11"/>
    <w:rsid w:val="00A33E44"/>
    <w:rsid w:val="00A342F3"/>
    <w:rsid w:val="00A37F17"/>
    <w:rsid w:val="00A43447"/>
    <w:rsid w:val="00A43A28"/>
    <w:rsid w:val="00A44556"/>
    <w:rsid w:val="00A45F44"/>
    <w:rsid w:val="00A510CD"/>
    <w:rsid w:val="00A51EBD"/>
    <w:rsid w:val="00A54583"/>
    <w:rsid w:val="00A565DF"/>
    <w:rsid w:val="00A67B44"/>
    <w:rsid w:val="00A71A3A"/>
    <w:rsid w:val="00A80F0E"/>
    <w:rsid w:val="00A824E1"/>
    <w:rsid w:val="00A93F19"/>
    <w:rsid w:val="00AB136E"/>
    <w:rsid w:val="00AC5D30"/>
    <w:rsid w:val="00AE0B31"/>
    <w:rsid w:val="00AE53A7"/>
    <w:rsid w:val="00AE773F"/>
    <w:rsid w:val="00AE7CB9"/>
    <w:rsid w:val="00AF417E"/>
    <w:rsid w:val="00B073CA"/>
    <w:rsid w:val="00B15E8A"/>
    <w:rsid w:val="00B30F91"/>
    <w:rsid w:val="00B3650E"/>
    <w:rsid w:val="00B51611"/>
    <w:rsid w:val="00B5594B"/>
    <w:rsid w:val="00B55DCE"/>
    <w:rsid w:val="00B63D41"/>
    <w:rsid w:val="00B657C4"/>
    <w:rsid w:val="00B67787"/>
    <w:rsid w:val="00B855FB"/>
    <w:rsid w:val="00B860AA"/>
    <w:rsid w:val="00B9431F"/>
    <w:rsid w:val="00B96717"/>
    <w:rsid w:val="00B97912"/>
    <w:rsid w:val="00BA0DE2"/>
    <w:rsid w:val="00BA11CE"/>
    <w:rsid w:val="00BA418F"/>
    <w:rsid w:val="00BB59BF"/>
    <w:rsid w:val="00BB79AB"/>
    <w:rsid w:val="00BC095B"/>
    <w:rsid w:val="00BC4B8B"/>
    <w:rsid w:val="00BC4FFA"/>
    <w:rsid w:val="00BC732D"/>
    <w:rsid w:val="00BC7F1A"/>
    <w:rsid w:val="00BD0A5F"/>
    <w:rsid w:val="00BF0F0C"/>
    <w:rsid w:val="00BF3FB9"/>
    <w:rsid w:val="00C02E0D"/>
    <w:rsid w:val="00C043F1"/>
    <w:rsid w:val="00C06A87"/>
    <w:rsid w:val="00C12379"/>
    <w:rsid w:val="00C16B28"/>
    <w:rsid w:val="00C17A11"/>
    <w:rsid w:val="00C201B7"/>
    <w:rsid w:val="00C2550D"/>
    <w:rsid w:val="00C313A9"/>
    <w:rsid w:val="00C32A9F"/>
    <w:rsid w:val="00C34F58"/>
    <w:rsid w:val="00C40281"/>
    <w:rsid w:val="00C409ED"/>
    <w:rsid w:val="00C41ED7"/>
    <w:rsid w:val="00C449E1"/>
    <w:rsid w:val="00C46380"/>
    <w:rsid w:val="00C46924"/>
    <w:rsid w:val="00C50A63"/>
    <w:rsid w:val="00C538D9"/>
    <w:rsid w:val="00C564F7"/>
    <w:rsid w:val="00C56529"/>
    <w:rsid w:val="00C66A92"/>
    <w:rsid w:val="00C765F4"/>
    <w:rsid w:val="00C77BAF"/>
    <w:rsid w:val="00C816E7"/>
    <w:rsid w:val="00C81C91"/>
    <w:rsid w:val="00C83A0F"/>
    <w:rsid w:val="00C952FA"/>
    <w:rsid w:val="00CA4416"/>
    <w:rsid w:val="00CA6521"/>
    <w:rsid w:val="00CA7457"/>
    <w:rsid w:val="00CB08EB"/>
    <w:rsid w:val="00CB0C52"/>
    <w:rsid w:val="00CB0D8B"/>
    <w:rsid w:val="00CB42AC"/>
    <w:rsid w:val="00CC0ED3"/>
    <w:rsid w:val="00CC0FAF"/>
    <w:rsid w:val="00CC63DC"/>
    <w:rsid w:val="00CE5A49"/>
    <w:rsid w:val="00CF298E"/>
    <w:rsid w:val="00D00DA0"/>
    <w:rsid w:val="00D07BAC"/>
    <w:rsid w:val="00D2472B"/>
    <w:rsid w:val="00D254FF"/>
    <w:rsid w:val="00D2577D"/>
    <w:rsid w:val="00D31105"/>
    <w:rsid w:val="00D35CDD"/>
    <w:rsid w:val="00D36A4A"/>
    <w:rsid w:val="00D37CBA"/>
    <w:rsid w:val="00D44288"/>
    <w:rsid w:val="00D44301"/>
    <w:rsid w:val="00D57FB9"/>
    <w:rsid w:val="00D6347A"/>
    <w:rsid w:val="00D75939"/>
    <w:rsid w:val="00D81E35"/>
    <w:rsid w:val="00D83039"/>
    <w:rsid w:val="00D94FF8"/>
    <w:rsid w:val="00DA06E9"/>
    <w:rsid w:val="00DB3C39"/>
    <w:rsid w:val="00DB6BAB"/>
    <w:rsid w:val="00DB6C98"/>
    <w:rsid w:val="00DD7B62"/>
    <w:rsid w:val="00DE02F6"/>
    <w:rsid w:val="00DE0FBD"/>
    <w:rsid w:val="00DE3CC4"/>
    <w:rsid w:val="00DE4A25"/>
    <w:rsid w:val="00DE633F"/>
    <w:rsid w:val="00DF1CF7"/>
    <w:rsid w:val="00E06BEF"/>
    <w:rsid w:val="00E12662"/>
    <w:rsid w:val="00E12768"/>
    <w:rsid w:val="00E1531D"/>
    <w:rsid w:val="00E15B9F"/>
    <w:rsid w:val="00E16A4C"/>
    <w:rsid w:val="00E218A8"/>
    <w:rsid w:val="00E218C0"/>
    <w:rsid w:val="00E2373E"/>
    <w:rsid w:val="00E4124C"/>
    <w:rsid w:val="00E4290B"/>
    <w:rsid w:val="00E43C2D"/>
    <w:rsid w:val="00E4411A"/>
    <w:rsid w:val="00E44297"/>
    <w:rsid w:val="00E44D83"/>
    <w:rsid w:val="00E5252A"/>
    <w:rsid w:val="00E53870"/>
    <w:rsid w:val="00E54327"/>
    <w:rsid w:val="00E548C0"/>
    <w:rsid w:val="00E6160F"/>
    <w:rsid w:val="00E65A62"/>
    <w:rsid w:val="00E81072"/>
    <w:rsid w:val="00E84DD9"/>
    <w:rsid w:val="00E86FF0"/>
    <w:rsid w:val="00E92511"/>
    <w:rsid w:val="00EA274E"/>
    <w:rsid w:val="00EA370D"/>
    <w:rsid w:val="00EB5085"/>
    <w:rsid w:val="00EB5FEB"/>
    <w:rsid w:val="00EE2457"/>
    <w:rsid w:val="00EE62CB"/>
    <w:rsid w:val="00EF23C2"/>
    <w:rsid w:val="00EF3046"/>
    <w:rsid w:val="00EF7C6E"/>
    <w:rsid w:val="00F016F4"/>
    <w:rsid w:val="00F02B40"/>
    <w:rsid w:val="00F0456D"/>
    <w:rsid w:val="00F04C68"/>
    <w:rsid w:val="00F07820"/>
    <w:rsid w:val="00F144AA"/>
    <w:rsid w:val="00F1450B"/>
    <w:rsid w:val="00F1690E"/>
    <w:rsid w:val="00F17309"/>
    <w:rsid w:val="00F233E9"/>
    <w:rsid w:val="00F26144"/>
    <w:rsid w:val="00F34921"/>
    <w:rsid w:val="00F358F5"/>
    <w:rsid w:val="00F35D95"/>
    <w:rsid w:val="00F37866"/>
    <w:rsid w:val="00F44886"/>
    <w:rsid w:val="00F538CE"/>
    <w:rsid w:val="00F61FB4"/>
    <w:rsid w:val="00F70DC4"/>
    <w:rsid w:val="00F757AF"/>
    <w:rsid w:val="00F827E5"/>
    <w:rsid w:val="00F9072A"/>
    <w:rsid w:val="00F94862"/>
    <w:rsid w:val="00F96BC1"/>
    <w:rsid w:val="00FB299D"/>
    <w:rsid w:val="00FB3D17"/>
    <w:rsid w:val="00FC0620"/>
    <w:rsid w:val="00FC0F9E"/>
    <w:rsid w:val="00FC135F"/>
    <w:rsid w:val="00FC25E5"/>
    <w:rsid w:val="00FC3441"/>
    <w:rsid w:val="00FC68DE"/>
    <w:rsid w:val="00FD09B9"/>
    <w:rsid w:val="00FD1099"/>
    <w:rsid w:val="00FD521B"/>
    <w:rsid w:val="00FD6F7A"/>
    <w:rsid w:val="00FE4CEA"/>
    <w:rsid w:val="00FE7BE0"/>
    <w:rsid w:val="00FF1D2B"/>
    <w:rsid w:val="00FF288A"/>
    <w:rsid w:val="00FF2A9A"/>
    <w:rsid w:val="00FF7440"/>
    <w:rsid w:val="04AA4616"/>
    <w:rsid w:val="07EC384D"/>
    <w:rsid w:val="07EC5B48"/>
    <w:rsid w:val="0B073E71"/>
    <w:rsid w:val="0C126F71"/>
    <w:rsid w:val="0FAE09D7"/>
    <w:rsid w:val="10D428D6"/>
    <w:rsid w:val="14B056B4"/>
    <w:rsid w:val="19A71C15"/>
    <w:rsid w:val="1A371A31"/>
    <w:rsid w:val="1E1B2789"/>
    <w:rsid w:val="2202465F"/>
    <w:rsid w:val="23FE1DA8"/>
    <w:rsid w:val="241A6E61"/>
    <w:rsid w:val="2CFF2CA0"/>
    <w:rsid w:val="342D3014"/>
    <w:rsid w:val="3B301A1C"/>
    <w:rsid w:val="3ECD2378"/>
    <w:rsid w:val="4AE65A6D"/>
    <w:rsid w:val="4F044E7E"/>
    <w:rsid w:val="4F834B67"/>
    <w:rsid w:val="50BF24BF"/>
    <w:rsid w:val="514E109E"/>
    <w:rsid w:val="55EF2F45"/>
    <w:rsid w:val="595403E3"/>
    <w:rsid w:val="5BFB33AA"/>
    <w:rsid w:val="5FD977EF"/>
    <w:rsid w:val="640668AB"/>
    <w:rsid w:val="66AA056B"/>
    <w:rsid w:val="67112E9A"/>
    <w:rsid w:val="6B701193"/>
    <w:rsid w:val="6C0A13FA"/>
    <w:rsid w:val="6E1F40EF"/>
    <w:rsid w:val="70710E57"/>
    <w:rsid w:val="74A71ACE"/>
    <w:rsid w:val="77E12C2A"/>
    <w:rsid w:val="786B7F9B"/>
    <w:rsid w:val="798849DB"/>
    <w:rsid w:val="7E3B52B2"/>
    <w:rsid w:val="7E597CD7"/>
    <w:rsid w:val="7F511A28"/>
    <w:rsid w:val="7F9C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仿宋_GB2312" w:hAnsi="Times New Roman" w:eastAsia="仿宋_GB2312" w:cs="Times New Roman"/>
      <w:kern w:val="2"/>
      <w:sz w:val="30"/>
      <w:lang w:val="en-US" w:eastAsia="zh-CN" w:bidi="ar-SA"/>
    </w:rPr>
  </w:style>
  <w:style w:type="paragraph" w:styleId="2">
    <w:name w:val="heading 1"/>
    <w:basedOn w:val="1"/>
    <w:next w:val="1"/>
    <w:link w:val="14"/>
    <w:autoRedefine/>
    <w:qFormat/>
    <w:uiPriority w:val="0"/>
    <w:pPr>
      <w:keepNext/>
      <w:keepLines/>
      <w:spacing w:beforeLines="50" w:afterLines="50"/>
      <w:ind w:firstLine="0" w:firstLineChars="0"/>
      <w:jc w:val="center"/>
      <w:outlineLvl w:val="0"/>
    </w:pPr>
    <w:rPr>
      <w:rFonts w:ascii="黑体" w:eastAsia="黑体"/>
      <w:b/>
      <w:bCs/>
      <w:kern w:val="44"/>
      <w:szCs w:val="44"/>
    </w:rPr>
  </w:style>
  <w:style w:type="paragraph" w:styleId="3">
    <w:name w:val="heading 5"/>
    <w:basedOn w:val="1"/>
    <w:next w:val="1"/>
    <w:autoRedefine/>
    <w:qFormat/>
    <w:uiPriority w:val="0"/>
    <w:pPr>
      <w:spacing w:before="100" w:beforeAutospacing="1" w:after="100" w:afterAutospacing="1"/>
      <w:jc w:val="left"/>
      <w:outlineLvl w:val="4"/>
    </w:pPr>
    <w:rPr>
      <w:rFonts w:hint="eastAsia" w:ascii="宋体" w:hAnsi="宋体" w:eastAsia="宋体"/>
      <w:b/>
      <w:bCs/>
      <w:kern w:val="0"/>
      <w:sz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5"/>
    <w:autoRedefine/>
    <w:qFormat/>
    <w:uiPriority w:val="0"/>
    <w:rPr>
      <w:rFonts w:ascii="Times New Roman"/>
      <w:sz w:val="32"/>
    </w:rPr>
  </w:style>
  <w:style w:type="paragraph" w:styleId="5">
    <w:name w:val="Balloon Text"/>
    <w:basedOn w:val="1"/>
    <w:autoRedefine/>
    <w:semiHidden/>
    <w:qFormat/>
    <w:uiPriority w:val="0"/>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rFonts w:ascii="Times New Roman" w:eastAsia="宋体"/>
      <w:sz w:val="18"/>
      <w:szCs w:val="18"/>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Hyperlink"/>
    <w:autoRedefine/>
    <w:qFormat/>
    <w:uiPriority w:val="0"/>
    <w:rPr>
      <w:color w:val="0000FF"/>
      <w:u w:val="single"/>
    </w:rPr>
  </w:style>
  <w:style w:type="character" w:customStyle="1" w:styleId="14">
    <w:name w:val="标题 1 Char"/>
    <w:link w:val="2"/>
    <w:autoRedefine/>
    <w:qFormat/>
    <w:uiPriority w:val="0"/>
    <w:rPr>
      <w:rFonts w:ascii="黑体" w:eastAsia="黑体"/>
      <w:b/>
      <w:bCs/>
      <w:kern w:val="44"/>
      <w:sz w:val="30"/>
      <w:szCs w:val="44"/>
    </w:rPr>
  </w:style>
  <w:style w:type="character" w:customStyle="1" w:styleId="15">
    <w:name w:val="正文文本 Char"/>
    <w:link w:val="4"/>
    <w:autoRedefine/>
    <w:qFormat/>
    <w:uiPriority w:val="0"/>
    <w:rPr>
      <w:rFonts w:eastAsia="仿宋_GB2312"/>
      <w:kern w:val="2"/>
      <w:sz w:val="32"/>
    </w:rPr>
  </w:style>
  <w:style w:type="character" w:customStyle="1" w:styleId="16">
    <w:name w:val="页脚 Char"/>
    <w:link w:val="6"/>
    <w:autoRedefine/>
    <w:qFormat/>
    <w:uiPriority w:val="99"/>
    <w:rPr>
      <w:rFonts w:ascii="仿宋_GB2312" w:eastAsia="仿宋_GB2312"/>
      <w:kern w:val="2"/>
      <w:sz w:val="18"/>
    </w:rPr>
  </w:style>
  <w:style w:type="character" w:customStyle="1" w:styleId="17">
    <w:name w:val="页眉 Char"/>
    <w:link w:val="7"/>
    <w:autoRedefine/>
    <w:qFormat/>
    <w:uiPriority w:val="0"/>
    <w:rPr>
      <w:kern w:val="2"/>
      <w:sz w:val="18"/>
      <w:szCs w:val="18"/>
    </w:rPr>
  </w:style>
  <w:style w:type="paragraph" w:customStyle="1" w:styleId="18">
    <w:name w:val="Char Char Char Char"/>
    <w:basedOn w:val="1"/>
    <w:autoRedefine/>
    <w:qFormat/>
    <w:uiPriority w:val="0"/>
    <w:pPr>
      <w:widowControl/>
      <w:spacing w:after="160" w:line="240" w:lineRule="exact"/>
      <w:jc w:val="left"/>
    </w:pPr>
    <w:rPr>
      <w:rFonts w:ascii="Verdana" w:hAnsi="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aa</Company>
  <Pages>7</Pages>
  <Words>3250</Words>
  <Characters>3430</Characters>
  <Lines>26</Lines>
  <Paragraphs>7</Paragraphs>
  <TotalTime>314</TotalTime>
  <ScaleCrop>false</ScaleCrop>
  <LinksUpToDate>false</LinksUpToDate>
  <CharactersWithSpaces>3532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2022-05-26T03:21:00Z</dcterms:created>
  <dc:creator>邓命军</dc:creator>
  <cp:lastModifiedBy>刘熙聪</cp:lastModifiedBy>
  <cp:lastPrinted>2023-11-08T08:08:00Z</cp:lastPrinted>
  <dcterms:modified xsi:type="dcterms:W3CDTF">2024-04-10T02:44:25Z</dcterms:modified>
  <dc:title>粮食竞价交易细则</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C42530E3FE03409C9B7BAC13B010D823</vt:lpwstr>
  </property>
</Properties>
</file>