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000000"/>
          <w:spacing w:val="0"/>
          <w:w w:val="100"/>
          <w:sz w:val="44"/>
          <w:szCs w:val="44"/>
          <w:lang w:val="en" w:eastAsia="zh-CN"/>
        </w:rPr>
      </w:pPr>
      <w:r>
        <w:rPr>
          <w:rFonts w:hint="eastAsia" w:ascii="方正小标宋简体" w:hAnsi="方正小标宋简体" w:eastAsia="方正小标宋简体" w:cs="方正小标宋简体"/>
          <w:color w:val="000000"/>
          <w:spacing w:val="0"/>
          <w:w w:val="100"/>
          <w:sz w:val="44"/>
          <w:szCs w:val="44"/>
          <w:lang w:val="en-US" w:eastAsia="zh-CN"/>
        </w:rPr>
        <w:t>谷物磨制</w:t>
      </w:r>
      <w:r>
        <w:rPr>
          <w:rFonts w:hint="eastAsia" w:ascii="方正小标宋简体" w:hAnsi="方正小标宋简体" w:eastAsia="方正小标宋简体" w:cs="方正小标宋简体"/>
          <w:color w:val="000000"/>
          <w:spacing w:val="0"/>
          <w:w w:val="100"/>
          <w:sz w:val="44"/>
          <w:szCs w:val="44"/>
          <w:lang w:eastAsia="zh-CN"/>
        </w:rPr>
        <w:t>重大事故隐患判定</w:t>
      </w:r>
      <w:r>
        <w:rPr>
          <w:rFonts w:hint="eastAsia" w:ascii="方正小标宋简体" w:hAnsi="方正小标宋简体" w:eastAsia="方正小标宋简体" w:cs="方正小标宋简体"/>
          <w:color w:val="000000"/>
          <w:spacing w:val="0"/>
          <w:w w:val="100"/>
          <w:sz w:val="44"/>
          <w:szCs w:val="44"/>
          <w:lang w:val="en-US" w:eastAsia="zh-CN"/>
        </w:rPr>
        <w:t>要点</w:t>
      </w:r>
    </w:p>
    <w:p>
      <w:pPr>
        <w:pStyle w:val="3"/>
        <w:keepNext w:val="0"/>
        <w:keepLines w:val="0"/>
        <w:pageBreakBefore w:val="0"/>
        <w:widowControl w:val="0"/>
        <w:kinsoku/>
        <w:wordWrap/>
        <w:overflowPunct w:val="0"/>
        <w:topLinePunct w:val="0"/>
        <w:autoSpaceDE/>
        <w:autoSpaceDN/>
        <w:bidi w:val="0"/>
        <w:adjustRightInd/>
        <w:snapToGrid/>
        <w:spacing w:line="640" w:lineRule="exact"/>
        <w:textAlignment w:val="auto"/>
        <w:rPr>
          <w:rFonts w:hint="eastAsia" w:ascii="仿宋_GB2312" w:hAnsi="仿宋_GB2312" w:eastAsia="仿宋_GB2312" w:cs="仿宋_GB2312"/>
          <w:color w:val="000000"/>
          <w:spacing w:val="0"/>
          <w:sz w:val="36"/>
          <w:szCs w:val="36"/>
          <w:lang w:eastAsia="zh-CN"/>
        </w:rPr>
      </w:pPr>
    </w:p>
    <w:p>
      <w:pPr>
        <w:bidi w:val="0"/>
        <w:rPr>
          <w:rFonts w:hint="eastAsia"/>
          <w:lang w:eastAsia="zh-CN"/>
        </w:rPr>
      </w:pPr>
      <w:r>
        <w:rPr>
          <w:rFonts w:hint="eastAsia"/>
          <w:lang w:val="en-US" w:eastAsia="zh-CN"/>
        </w:rPr>
        <w:t>第一条  为了准确判定、及时消除</w:t>
      </w:r>
      <w:r>
        <w:rPr>
          <w:rFonts w:hint="eastAsia"/>
          <w:lang w:eastAsia="zh-CN"/>
        </w:rPr>
        <w:t>粮食领域重大事故隐患，根据《中华人民共和国安全生产法》等法律法规，制定本判定</w:t>
      </w:r>
      <w:r>
        <w:rPr>
          <w:rFonts w:hint="eastAsia"/>
          <w:lang w:val="en-US" w:eastAsia="zh-CN"/>
        </w:rPr>
        <w:t>要点</w:t>
      </w:r>
      <w:r>
        <w:rPr>
          <w:rFonts w:hint="eastAsia"/>
          <w:lang w:eastAsia="zh-CN"/>
        </w:rPr>
        <w:t>。</w:t>
      </w:r>
    </w:p>
    <w:p>
      <w:pPr>
        <w:bidi w:val="0"/>
        <w:rPr>
          <w:rFonts w:hint="eastAsia"/>
          <w:lang w:val="en-US" w:eastAsia="zh-CN"/>
        </w:rPr>
      </w:pPr>
      <w:r>
        <w:rPr>
          <w:rFonts w:hint="eastAsia"/>
          <w:lang w:eastAsia="zh-CN"/>
        </w:rPr>
        <w:t>第二条</w:t>
      </w:r>
      <w:r>
        <w:rPr>
          <w:rFonts w:hint="eastAsia"/>
          <w:lang w:val="en-US" w:eastAsia="zh-CN"/>
        </w:rPr>
        <w:t xml:space="preserve">  本</w:t>
      </w:r>
      <w:bookmarkStart w:id="0" w:name="_GoBack"/>
      <w:bookmarkEnd w:id="0"/>
      <w:r>
        <w:rPr>
          <w:rFonts w:hint="eastAsia"/>
          <w:lang w:eastAsia="zh-CN"/>
        </w:rPr>
        <w:t>判定</w:t>
      </w:r>
      <w:r>
        <w:rPr>
          <w:rFonts w:hint="eastAsia"/>
          <w:lang w:val="en-US" w:eastAsia="zh-CN"/>
        </w:rPr>
        <w:t>要点所称谷物磨制，是将稻谷、小麦、玉米、谷子、高粱等谷物去壳、碾磨、加工为成品粮、半成品粮的生产活动。</w:t>
      </w:r>
    </w:p>
    <w:p>
      <w:pPr>
        <w:bidi w:val="0"/>
        <w:rPr>
          <w:rFonts w:hint="eastAsia"/>
          <w:lang w:val="en-US" w:eastAsia="zh-CN"/>
        </w:rPr>
      </w:pPr>
      <w:r>
        <w:rPr>
          <w:rFonts w:hint="eastAsia"/>
          <w:lang w:val="en-US" w:eastAsia="zh-CN"/>
        </w:rPr>
        <w:t>粮食加工企业谷物磨制生产活动重大事故隐患的判定，适用于本</w:t>
      </w:r>
      <w:r>
        <w:rPr>
          <w:rFonts w:hint="eastAsia"/>
          <w:lang w:eastAsia="zh-CN"/>
        </w:rPr>
        <w:t>判定</w:t>
      </w:r>
      <w:r>
        <w:rPr>
          <w:rFonts w:hint="eastAsia"/>
          <w:lang w:val="en-US" w:eastAsia="zh-CN"/>
        </w:rPr>
        <w:t>要点。</w:t>
      </w:r>
    </w:p>
    <w:p>
      <w:pPr>
        <w:bidi w:val="0"/>
        <w:rPr>
          <w:rFonts w:hint="eastAsia"/>
          <w:lang w:val="en-US" w:eastAsia="zh-CN"/>
        </w:rPr>
      </w:pPr>
      <w:r>
        <w:rPr>
          <w:rFonts w:hint="eastAsia"/>
          <w:lang w:val="en-US" w:eastAsia="zh-CN"/>
        </w:rPr>
        <w:t>粮食加工企业涉及危险化学品、消防、燃气、特种设备、农机等重大事故隐患的判定，按相关专业领域的判定标准执行。</w:t>
      </w:r>
    </w:p>
    <w:p>
      <w:pPr>
        <w:bidi w:val="0"/>
        <w:rPr>
          <w:rFonts w:hint="eastAsia"/>
          <w:lang w:val="en-US" w:eastAsia="zh-CN"/>
        </w:rPr>
      </w:pPr>
      <w:r>
        <w:rPr>
          <w:rFonts w:hint="eastAsia"/>
          <w:lang w:val="en-US" w:eastAsia="zh-CN"/>
        </w:rPr>
        <w:t>第三条  粮食加工企业谷物磨制生产活动存在以下情形之一的，应当判定为重大事故隐患：</w:t>
      </w:r>
    </w:p>
    <w:p>
      <w:pPr>
        <w:bidi w:val="0"/>
        <w:rPr>
          <w:rFonts w:hint="eastAsia"/>
          <w:lang w:val="en-US" w:eastAsia="zh-CN"/>
        </w:rPr>
      </w:pPr>
      <w:r>
        <w:rPr>
          <w:rFonts w:hint="eastAsia"/>
          <w:lang w:val="en-US" w:eastAsia="zh-CN"/>
        </w:rPr>
        <w:t>（一）未建立与岗位相匹配的全员安全生产责任制的。</w:t>
      </w:r>
    </w:p>
    <w:p>
      <w:pPr>
        <w:bidi w:val="0"/>
        <w:rPr>
          <w:rFonts w:hint="eastAsia"/>
          <w:lang w:val="en-US" w:eastAsia="zh-CN"/>
        </w:rPr>
      </w:pPr>
      <w:r>
        <w:rPr>
          <w:rFonts w:hint="eastAsia"/>
          <w:lang w:val="en-US" w:eastAsia="zh-CN"/>
        </w:rPr>
        <w:t>（二）未制定实施生产安全事故隐患排查治理制度的。</w:t>
      </w:r>
    </w:p>
    <w:p>
      <w:pPr>
        <w:bidi w:val="0"/>
        <w:rPr>
          <w:rFonts w:hint="eastAsia"/>
          <w:lang w:val="en-US" w:eastAsia="zh-CN"/>
        </w:rPr>
      </w:pPr>
      <w:r>
        <w:rPr>
          <w:rFonts w:hint="eastAsia"/>
          <w:lang w:val="en-US" w:eastAsia="zh-CN"/>
        </w:rPr>
        <w:t>（三）未对承包单位或承租单位及其劳务派遣人员的安全生产工作统一协调、管理，或者未定期进行安全检查的。</w:t>
      </w:r>
    </w:p>
    <w:p>
      <w:pPr>
        <w:bidi w:val="0"/>
        <w:rPr>
          <w:rFonts w:hint="eastAsia"/>
          <w:lang w:val="en-US" w:eastAsia="zh-CN"/>
        </w:rPr>
      </w:pPr>
      <w:r>
        <w:rPr>
          <w:rFonts w:hint="eastAsia"/>
          <w:lang w:val="en-US" w:eastAsia="zh-CN"/>
        </w:rPr>
        <w:t>（四）特种作业人员未按照规定经专门的安全作业培训并取得相应资格上岗作业的。</w:t>
      </w:r>
    </w:p>
    <w:p>
      <w:pPr>
        <w:bidi w:val="0"/>
        <w:rPr>
          <w:rFonts w:hint="eastAsia"/>
          <w:lang w:val="en-US" w:eastAsia="zh-CN"/>
        </w:rPr>
      </w:pPr>
      <w:r>
        <w:rPr>
          <w:rFonts w:hint="eastAsia"/>
          <w:lang w:val="en-US" w:eastAsia="zh-CN"/>
        </w:rPr>
        <w:t>（五）大米砻糠间、面粉散存仓、封闭式设备内部等划分为20区的粉尘爆炸危险场所电气设备不符合防爆要求，或者未落实粉尘清理制度，造成作业现场积尘严重的。</w:t>
      </w:r>
    </w:p>
    <w:p>
      <w:pPr>
        <w:bidi w:val="0"/>
        <w:rPr>
          <w:rFonts w:hint="default"/>
          <w:lang w:val="en-US" w:eastAsia="zh-CN"/>
        </w:rPr>
      </w:pPr>
      <w:r>
        <w:rPr>
          <w:rFonts w:hint="eastAsia"/>
          <w:lang w:val="en-US" w:eastAsia="zh-CN"/>
        </w:rPr>
        <w:t>（六）未对存在硫化氢、一氧化碳等中毒风险的有限空间进行辨识并设置明显的安全警示标志，或者未落实有限空间作业审批，或者作业现场未设置监护人员的。</w:t>
      </w:r>
    </w:p>
    <w:p>
      <w:pPr>
        <w:bidi w:val="0"/>
        <w:rPr>
          <w:rFonts w:hint="eastAsia"/>
          <w:lang w:val="en-US" w:eastAsia="zh-CN"/>
        </w:rPr>
      </w:pPr>
      <w:r>
        <w:rPr>
          <w:rFonts w:hint="eastAsia"/>
          <w:lang w:val="en-US" w:eastAsia="zh-CN"/>
        </w:rPr>
        <w:t>（七）其他严重违反涉及谷物磨制生产活动的法律法规及标准规范且存在危害程度较大、可能导致重大事故，或者重大经济损失现实危险的。</w:t>
      </w:r>
    </w:p>
    <w:p>
      <w:pPr>
        <w:bidi w:val="0"/>
        <w:rPr>
          <w:rFonts w:hint="eastAsia"/>
          <w:lang w:val="en-US" w:eastAsia="zh-CN"/>
        </w:rPr>
      </w:pPr>
      <w:r>
        <w:rPr>
          <w:rFonts w:hint="eastAsia"/>
          <w:lang w:val="en-US" w:eastAsia="zh-CN"/>
        </w:rPr>
        <w:t>第四条  本判定要点下列用语的含义是：</w:t>
      </w:r>
    </w:p>
    <w:p>
      <w:pPr>
        <w:bidi w:val="0"/>
        <w:rPr>
          <w:rFonts w:hint="eastAsia"/>
          <w:lang w:val="en-US" w:eastAsia="zh-CN"/>
        </w:rPr>
      </w:pPr>
      <w:r>
        <w:rPr>
          <w:rFonts w:hint="eastAsia"/>
          <w:lang w:val="en-US" w:eastAsia="zh-CN"/>
        </w:rPr>
        <w:t>20区，是指空气中可燃性粉尘云持续地或者长期地或者频繁地出现于爆炸性环境中的区域。</w:t>
      </w:r>
    </w:p>
    <w:p>
      <w:pPr>
        <w:bidi w:val="0"/>
        <w:rPr>
          <w:rFonts w:hint="eastAsia"/>
          <w:lang w:val="en-US" w:eastAsia="zh-CN"/>
        </w:rPr>
      </w:pPr>
      <w:r>
        <w:rPr>
          <w:rFonts w:hint="eastAsia"/>
          <w:lang w:val="en-US" w:eastAsia="zh-CN"/>
        </w:rPr>
        <w:t>有限空间，是指封闭或者部分封闭，未被设计为固定工作场所，人员可以进入作业，易造成有毒有害、易燃易爆物质积聚或者氧含量不足的空间。</w:t>
      </w:r>
    </w:p>
    <w:p>
      <w:pPr>
        <w:bidi w:val="0"/>
        <w:rPr>
          <w:rFonts w:hint="eastAsia"/>
          <w:lang w:val="en-US" w:eastAsia="zh-CN"/>
        </w:rPr>
      </w:pPr>
      <w:r>
        <w:rPr>
          <w:rFonts w:hint="eastAsia"/>
          <w:lang w:val="en-US" w:eastAsia="zh-CN"/>
        </w:rPr>
        <w:t>第五条  本判定要点自发布之日起施行。</w:t>
      </w:r>
    </w:p>
    <w:p/>
    <w:sectPr>
      <w:footerReference r:id="rId5" w:type="default"/>
      <w:pgSz w:w="11906" w:h="16838"/>
      <w:pgMar w:top="2098" w:right="1531" w:bottom="1531" w:left="1531" w:header="851" w:footer="992" w:gutter="0"/>
      <w:pgNumType w:fmt="decimal" w:start="1"/>
      <w:cols w:space="72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FBB6F16-159F-4F22-8CB3-89F17F4A18D5}"/>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E7735E8-B8F6-4396-AB19-0E55985EA1CC}"/>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FFD436A2-597E-4746-9D1C-596E6CBF86A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16"/>
      </w:pPr>
      <w:r>
        <w:separator/>
      </w:r>
    </w:p>
  </w:footnote>
  <w:footnote w:type="continuationSeparator" w:id="1">
    <w:p>
      <w:pPr>
        <w:spacing w:before="0" w:after="0" w:line="360" w:lineRule="auto"/>
        <w:ind w:firstLine="61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MWIxMmU1Mjg1MWY3ZWE1N2U1ZGIxNTk2ODhhODkifQ=="/>
  </w:docVars>
  <w:rsids>
    <w:rsidRoot w:val="2C32513A"/>
    <w:rsid w:val="12131B15"/>
    <w:rsid w:val="2C32513A"/>
    <w:rsid w:val="3D277B6E"/>
    <w:rsid w:val="4545764A"/>
    <w:rsid w:val="604452C4"/>
    <w:rsid w:val="6399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50" w:afterLines="50" w:line="360" w:lineRule="auto"/>
      <w:ind w:firstLine="880" w:firstLineChars="200"/>
      <w:jc w:val="both"/>
    </w:pPr>
    <w:rPr>
      <w:rFonts w:ascii="Times New Roman" w:hAnsi="Times New Roman" w:eastAsia="宋体" w:cs="Times New Roman"/>
      <w:spacing w:val="-6"/>
      <w:kern w:val="2"/>
      <w:sz w:val="32"/>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next w:val="4"/>
    <w:autoRedefine/>
    <w:qFormat/>
    <w:uiPriority w:val="0"/>
    <w:pPr>
      <w:widowControl w:val="0"/>
      <w:spacing w:line="360" w:lineRule="auto"/>
      <w:jc w:val="both"/>
    </w:pPr>
    <w:rPr>
      <w:rFonts w:ascii="宋体" w:hAnsi="Times New Roman" w:eastAsia="宋体" w:cs="Times New Roman"/>
      <w:b/>
      <w:spacing w:val="-6"/>
      <w:kern w:val="2"/>
      <w:sz w:val="24"/>
      <w:szCs w:val="24"/>
      <w:lang w:val="en-US" w:eastAsia="zh-CN" w:bidi="ar-SA"/>
    </w:rPr>
  </w:style>
  <w:style w:type="paragraph" w:customStyle="1" w:styleId="4">
    <w:name w:val="Body Text 21"/>
    <w:autoRedefine/>
    <w:qFormat/>
    <w:uiPriority w:val="0"/>
    <w:pPr>
      <w:widowControl w:val="0"/>
      <w:spacing w:after="120" w:line="480" w:lineRule="auto"/>
      <w:jc w:val="both"/>
    </w:pPr>
    <w:rPr>
      <w:rFonts w:ascii="Arial" w:hAnsi="Arial" w:eastAsia="仿宋_GB2312" w:cs="Times New Roman"/>
      <w:kern w:val="2"/>
      <w:sz w:val="32"/>
      <w:szCs w:val="22"/>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2024-11-26T11:12:00Z</dcterms:created>
  <dc:creator>谪仙谛月</dc:creator>
  <cp:lastModifiedBy>常忠武</cp:lastModifiedBy>
  <dcterms:modified xsi:type="dcterms:W3CDTF">2024-12-09T06:45:30Z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F9231F9F21E441168DF65829770B4C30_11</vt:lpwstr>
  </property>
</Properties>
</file>